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66" w:rsidRPr="003129E1" w:rsidRDefault="00014566" w:rsidP="003129E1">
      <w:pPr>
        <w:jc w:val="center"/>
      </w:pPr>
      <w:bookmarkStart w:id="0" w:name="_GoBack"/>
      <w:bookmarkEnd w:id="0"/>
    </w:p>
    <w:p w:rsidR="009E7C75" w:rsidRPr="003129E1" w:rsidRDefault="009E7C75" w:rsidP="003129E1">
      <w:pPr>
        <w:jc w:val="center"/>
      </w:pPr>
    </w:p>
    <w:p w:rsidR="009E7C75" w:rsidRPr="003129E1" w:rsidRDefault="009E7C75" w:rsidP="003129E1">
      <w:pPr>
        <w:jc w:val="center"/>
      </w:pPr>
    </w:p>
    <w:p w:rsidR="00014566" w:rsidRPr="003129E1" w:rsidRDefault="006C3181" w:rsidP="003129E1">
      <w:pPr>
        <w:jc w:val="center"/>
      </w:pPr>
      <w:r w:rsidRPr="003129E1">
        <w:t>FIRST SECTION</w:t>
      </w:r>
    </w:p>
    <w:p w:rsidR="00014566" w:rsidRPr="003129E1" w:rsidRDefault="00014566" w:rsidP="003129E1">
      <w:pPr>
        <w:jc w:val="center"/>
      </w:pPr>
    </w:p>
    <w:p w:rsidR="009E7C75" w:rsidRPr="003129E1" w:rsidRDefault="009E7C75" w:rsidP="003129E1">
      <w:pPr>
        <w:jc w:val="center"/>
      </w:pPr>
    </w:p>
    <w:p w:rsidR="009E7C75" w:rsidRPr="003129E1" w:rsidRDefault="009E7C75" w:rsidP="003129E1">
      <w:pPr>
        <w:jc w:val="center"/>
      </w:pPr>
    </w:p>
    <w:p w:rsidR="009E7C75" w:rsidRPr="003129E1" w:rsidRDefault="009E7C75" w:rsidP="003129E1">
      <w:pPr>
        <w:jc w:val="center"/>
      </w:pPr>
    </w:p>
    <w:p w:rsidR="009E7C75" w:rsidRPr="003129E1" w:rsidRDefault="009E7C75" w:rsidP="003129E1">
      <w:pPr>
        <w:jc w:val="center"/>
      </w:pPr>
    </w:p>
    <w:p w:rsidR="009E7C75" w:rsidRPr="003129E1" w:rsidRDefault="009E7C75" w:rsidP="003129E1">
      <w:pPr>
        <w:jc w:val="center"/>
      </w:pPr>
    </w:p>
    <w:p w:rsidR="00014566" w:rsidRPr="003129E1" w:rsidRDefault="00014566" w:rsidP="003129E1">
      <w:pPr>
        <w:jc w:val="center"/>
        <w:rPr>
          <w:b/>
        </w:rPr>
      </w:pPr>
      <w:bookmarkStart w:id="1" w:name="To"/>
      <w:r w:rsidRPr="003129E1">
        <w:rPr>
          <w:b/>
        </w:rPr>
        <w:t xml:space="preserve">CASE OF </w:t>
      </w:r>
      <w:bookmarkEnd w:id="1"/>
      <w:r w:rsidR="00CF2F46" w:rsidRPr="003129E1">
        <w:rPr>
          <w:b/>
        </w:rPr>
        <w:t xml:space="preserve">TIZIANA </w:t>
      </w:r>
      <w:r w:rsidR="006C3181" w:rsidRPr="003129E1">
        <w:rPr>
          <w:b/>
        </w:rPr>
        <w:t>PENNINO v. ITALY</w:t>
      </w:r>
    </w:p>
    <w:p w:rsidR="00014566" w:rsidRPr="003129E1" w:rsidRDefault="00014566" w:rsidP="003129E1">
      <w:pPr>
        <w:jc w:val="center"/>
      </w:pPr>
    </w:p>
    <w:p w:rsidR="00014566" w:rsidRPr="003129E1" w:rsidRDefault="00014566" w:rsidP="003129E1">
      <w:pPr>
        <w:jc w:val="center"/>
        <w:rPr>
          <w:i/>
        </w:rPr>
      </w:pPr>
      <w:r w:rsidRPr="003129E1">
        <w:rPr>
          <w:i/>
        </w:rPr>
        <w:t>(</w:t>
      </w:r>
      <w:r w:rsidR="006C3181" w:rsidRPr="003129E1">
        <w:rPr>
          <w:i/>
        </w:rPr>
        <w:t>Application no. 21759/15</w:t>
      </w:r>
      <w:r w:rsidRPr="003129E1">
        <w:rPr>
          <w:i/>
        </w:rPr>
        <w:t>)</w:t>
      </w:r>
    </w:p>
    <w:p w:rsidR="00014566" w:rsidRPr="003129E1" w:rsidRDefault="00014566" w:rsidP="003129E1">
      <w:pPr>
        <w:jc w:val="center"/>
      </w:pPr>
    </w:p>
    <w:p w:rsidR="00014566" w:rsidRPr="003129E1" w:rsidRDefault="00014566" w:rsidP="003129E1">
      <w:pPr>
        <w:jc w:val="center"/>
      </w:pPr>
    </w:p>
    <w:p w:rsidR="00014566" w:rsidRPr="003129E1" w:rsidRDefault="00014566" w:rsidP="003129E1">
      <w:pPr>
        <w:jc w:val="center"/>
      </w:pPr>
    </w:p>
    <w:p w:rsidR="00014566" w:rsidRPr="003129E1" w:rsidRDefault="00014566" w:rsidP="003129E1">
      <w:pPr>
        <w:jc w:val="center"/>
      </w:pPr>
    </w:p>
    <w:p w:rsidR="00014566" w:rsidRPr="003129E1" w:rsidRDefault="00014566" w:rsidP="003129E1">
      <w:pPr>
        <w:jc w:val="center"/>
      </w:pPr>
    </w:p>
    <w:p w:rsidR="00B92611" w:rsidRPr="003129E1" w:rsidRDefault="00B92611" w:rsidP="003129E1">
      <w:pPr>
        <w:jc w:val="center"/>
      </w:pPr>
    </w:p>
    <w:p w:rsidR="00B92611" w:rsidRPr="003129E1" w:rsidRDefault="00B92611" w:rsidP="003129E1">
      <w:pPr>
        <w:jc w:val="center"/>
      </w:pPr>
    </w:p>
    <w:p w:rsidR="00B92611" w:rsidRPr="003129E1" w:rsidRDefault="00B92611" w:rsidP="003129E1">
      <w:pPr>
        <w:jc w:val="center"/>
      </w:pPr>
    </w:p>
    <w:p w:rsidR="00B92611" w:rsidRPr="003129E1" w:rsidRDefault="00B92611" w:rsidP="003129E1">
      <w:pPr>
        <w:jc w:val="center"/>
      </w:pPr>
    </w:p>
    <w:p w:rsidR="00B92611" w:rsidRPr="003129E1" w:rsidRDefault="00B92611" w:rsidP="003129E1">
      <w:pPr>
        <w:jc w:val="center"/>
      </w:pPr>
    </w:p>
    <w:p w:rsidR="00B92611" w:rsidRPr="003129E1" w:rsidRDefault="00B92611" w:rsidP="003129E1">
      <w:pPr>
        <w:jc w:val="center"/>
      </w:pPr>
    </w:p>
    <w:p w:rsidR="00014566" w:rsidRPr="003129E1" w:rsidRDefault="00014566" w:rsidP="003129E1">
      <w:pPr>
        <w:jc w:val="center"/>
      </w:pPr>
    </w:p>
    <w:p w:rsidR="00014566" w:rsidRPr="003129E1" w:rsidRDefault="00014566" w:rsidP="003129E1">
      <w:pPr>
        <w:rPr>
          <w:szCs w:val="24"/>
        </w:rPr>
      </w:pPr>
    </w:p>
    <w:p w:rsidR="00A476AE" w:rsidRPr="003129E1" w:rsidRDefault="009E7C75" w:rsidP="003129E1">
      <w:pPr>
        <w:jc w:val="center"/>
      </w:pPr>
      <w:r w:rsidRPr="003129E1">
        <w:rPr>
          <w:iCs/>
        </w:rPr>
        <w:t>JUDGMENT</w:t>
      </w:r>
    </w:p>
    <w:p w:rsidR="00A476AE" w:rsidRPr="003129E1" w:rsidRDefault="00A476AE" w:rsidP="003129E1">
      <w:pPr>
        <w:rPr>
          <w:szCs w:val="24"/>
        </w:rPr>
      </w:pPr>
    </w:p>
    <w:p w:rsidR="009E7C75" w:rsidRPr="003129E1" w:rsidRDefault="009E7C75" w:rsidP="003129E1">
      <w:pPr>
        <w:jc w:val="center"/>
        <w:rPr>
          <w:szCs w:val="24"/>
        </w:rPr>
      </w:pPr>
    </w:p>
    <w:p w:rsidR="009E7C75" w:rsidRPr="003129E1" w:rsidRDefault="009E7C75" w:rsidP="003129E1">
      <w:pPr>
        <w:jc w:val="center"/>
        <w:rPr>
          <w:szCs w:val="24"/>
        </w:rPr>
      </w:pPr>
    </w:p>
    <w:p w:rsidR="009E7C75" w:rsidRPr="003129E1" w:rsidRDefault="009E7C75" w:rsidP="003129E1">
      <w:pPr>
        <w:jc w:val="center"/>
        <w:rPr>
          <w:szCs w:val="24"/>
        </w:rPr>
      </w:pPr>
      <w:r w:rsidRPr="003129E1">
        <w:rPr>
          <w:szCs w:val="24"/>
        </w:rPr>
        <w:t>STRASBOURG</w:t>
      </w:r>
    </w:p>
    <w:p w:rsidR="009E7C75" w:rsidRPr="003129E1" w:rsidRDefault="009E7C75" w:rsidP="003129E1">
      <w:pPr>
        <w:jc w:val="center"/>
        <w:rPr>
          <w:szCs w:val="24"/>
        </w:rPr>
      </w:pPr>
    </w:p>
    <w:p w:rsidR="009E7C75" w:rsidRPr="003129E1" w:rsidRDefault="009E7C75" w:rsidP="003129E1">
      <w:pPr>
        <w:jc w:val="center"/>
        <w:rPr>
          <w:szCs w:val="24"/>
        </w:rPr>
      </w:pPr>
      <w:r w:rsidRPr="003129E1">
        <w:rPr>
          <w:szCs w:val="24"/>
        </w:rPr>
        <w:t>12 October 2017</w:t>
      </w:r>
    </w:p>
    <w:p w:rsidR="009E7C75" w:rsidRPr="003129E1" w:rsidRDefault="009E7C75" w:rsidP="003129E1">
      <w:pPr>
        <w:jc w:val="center"/>
        <w:rPr>
          <w:szCs w:val="24"/>
        </w:rPr>
      </w:pPr>
    </w:p>
    <w:p w:rsidR="00E6048B" w:rsidRPr="003129E1" w:rsidRDefault="00E6048B" w:rsidP="003129E1">
      <w:pPr>
        <w:jc w:val="center"/>
        <w:rPr>
          <w:szCs w:val="24"/>
        </w:rPr>
      </w:pPr>
    </w:p>
    <w:p w:rsidR="00E6048B" w:rsidRPr="003129E1" w:rsidRDefault="00E6048B" w:rsidP="003129E1">
      <w:pPr>
        <w:jc w:val="center"/>
        <w:rPr>
          <w:szCs w:val="24"/>
        </w:rPr>
      </w:pPr>
    </w:p>
    <w:p w:rsidR="00DF23F2" w:rsidRPr="003129E1" w:rsidRDefault="009E7C75" w:rsidP="003129E1">
      <w:pPr>
        <w:rPr>
          <w:szCs w:val="24"/>
        </w:rPr>
      </w:pPr>
      <w:r w:rsidRPr="003129E1">
        <w:rPr>
          <w:i/>
          <w:sz w:val="22"/>
          <w:szCs w:val="24"/>
        </w:rPr>
        <w:t>This judgment will become final in the circumstances set out in Article 44 § 2 of the Convention. It may be subject to editorial revision.</w:t>
      </w:r>
    </w:p>
    <w:p w:rsidR="009E7C75" w:rsidRPr="003129E1" w:rsidRDefault="009E7C75" w:rsidP="003129E1">
      <w:pPr>
        <w:pStyle w:val="JuCase"/>
        <w:sectPr w:rsidR="009E7C75" w:rsidRPr="003129E1" w:rsidSect="009E7C75">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014566" w:rsidRPr="003129E1" w:rsidRDefault="00014566" w:rsidP="003129E1">
      <w:pPr>
        <w:pStyle w:val="JuCase"/>
        <w:rPr>
          <w:bCs/>
        </w:rPr>
      </w:pPr>
      <w:r w:rsidRPr="003129E1">
        <w:lastRenderedPageBreak/>
        <w:t xml:space="preserve">In the case of </w:t>
      </w:r>
      <w:r w:rsidR="00AB3ECD" w:rsidRPr="003129E1">
        <w:t xml:space="preserve">Tiziana </w:t>
      </w:r>
      <w:r w:rsidR="006C3181" w:rsidRPr="003129E1">
        <w:t>Pennino v. Italy</w:t>
      </w:r>
      <w:r w:rsidRPr="003129E1">
        <w:t>,</w:t>
      </w:r>
    </w:p>
    <w:p w:rsidR="00014566" w:rsidRPr="003129E1" w:rsidRDefault="00014566" w:rsidP="003129E1">
      <w:pPr>
        <w:pStyle w:val="ECHRPara"/>
      </w:pPr>
      <w:r w:rsidRPr="003129E1">
        <w:t>The European Court of Human Rights (</w:t>
      </w:r>
      <w:r w:rsidR="006C3181" w:rsidRPr="003129E1">
        <w:t>First Section</w:t>
      </w:r>
      <w:r w:rsidRPr="003129E1">
        <w:t xml:space="preserve">), sitting as a </w:t>
      </w:r>
      <w:r w:rsidR="006C3181" w:rsidRPr="003129E1">
        <w:t>Chamber</w:t>
      </w:r>
      <w:r w:rsidRPr="003129E1">
        <w:t xml:space="preserve"> composed of:</w:t>
      </w:r>
    </w:p>
    <w:p w:rsidR="00014566" w:rsidRPr="003129E1" w:rsidRDefault="009E7C75" w:rsidP="003129E1">
      <w:pPr>
        <w:pStyle w:val="ECHRDecisionBody"/>
      </w:pPr>
      <w:r w:rsidRPr="003129E1">
        <w:tab/>
        <w:t>Linos-Alexandre Sicilianos,</w:t>
      </w:r>
      <w:r w:rsidRPr="003129E1">
        <w:rPr>
          <w:i/>
        </w:rPr>
        <w:t xml:space="preserve"> President,</w:t>
      </w:r>
      <w:r w:rsidRPr="003129E1">
        <w:rPr>
          <w:i/>
        </w:rPr>
        <w:br/>
      </w:r>
      <w:r w:rsidRPr="003129E1">
        <w:tab/>
        <w:t>Kristina Pardalos,</w:t>
      </w:r>
      <w:r w:rsidRPr="003129E1">
        <w:rPr>
          <w:i/>
        </w:rPr>
        <w:br/>
      </w:r>
      <w:r w:rsidRPr="003129E1">
        <w:tab/>
        <w:t>Guido Raimondi,</w:t>
      </w:r>
      <w:r w:rsidRPr="003129E1">
        <w:rPr>
          <w:i/>
        </w:rPr>
        <w:br/>
      </w:r>
      <w:r w:rsidRPr="003129E1">
        <w:tab/>
        <w:t>Krzysztof Wojtyczek,</w:t>
      </w:r>
      <w:r w:rsidRPr="003129E1">
        <w:rPr>
          <w:i/>
        </w:rPr>
        <w:br/>
      </w:r>
      <w:r w:rsidRPr="003129E1">
        <w:tab/>
        <w:t>Ksenija Turković,</w:t>
      </w:r>
      <w:r w:rsidRPr="003129E1">
        <w:rPr>
          <w:i/>
        </w:rPr>
        <w:br/>
      </w:r>
      <w:r w:rsidRPr="003129E1">
        <w:tab/>
        <w:t>Armen Harutyunyan,</w:t>
      </w:r>
      <w:r w:rsidRPr="003129E1">
        <w:rPr>
          <w:i/>
        </w:rPr>
        <w:br/>
      </w:r>
      <w:r w:rsidRPr="003129E1">
        <w:tab/>
        <w:t>Jovan Ilievski,</w:t>
      </w:r>
      <w:r w:rsidRPr="003129E1">
        <w:rPr>
          <w:i/>
        </w:rPr>
        <w:t xml:space="preserve"> judges,</w:t>
      </w:r>
      <w:r w:rsidR="00014566" w:rsidRPr="003129E1">
        <w:rPr>
          <w:szCs w:val="24"/>
        </w:rPr>
        <w:br/>
      </w:r>
      <w:r w:rsidR="00014566" w:rsidRPr="003129E1">
        <w:t xml:space="preserve">and </w:t>
      </w:r>
      <w:r w:rsidR="006C3181" w:rsidRPr="003129E1">
        <w:t>Abel Campos</w:t>
      </w:r>
      <w:r w:rsidR="00014566" w:rsidRPr="003129E1">
        <w:t xml:space="preserve">, </w:t>
      </w:r>
      <w:r w:rsidR="006C3181" w:rsidRPr="003129E1">
        <w:rPr>
          <w:i/>
        </w:rPr>
        <w:t xml:space="preserve">Section </w:t>
      </w:r>
      <w:r w:rsidR="006C3181" w:rsidRPr="003129E1">
        <w:rPr>
          <w:i/>
          <w:iCs/>
        </w:rPr>
        <w:t>Registrar</w:t>
      </w:r>
      <w:r w:rsidR="00014566" w:rsidRPr="003129E1">
        <w:rPr>
          <w:i/>
        </w:rPr>
        <w:t>,</w:t>
      </w:r>
    </w:p>
    <w:p w:rsidR="00014566" w:rsidRPr="003129E1" w:rsidRDefault="00014566" w:rsidP="003129E1">
      <w:pPr>
        <w:pStyle w:val="ECHRPara"/>
      </w:pPr>
      <w:r w:rsidRPr="003129E1">
        <w:t xml:space="preserve">Having deliberated in private on </w:t>
      </w:r>
      <w:r w:rsidR="009E7C75" w:rsidRPr="003129E1">
        <w:t>19 September 2017</w:t>
      </w:r>
      <w:r w:rsidRPr="003129E1">
        <w:t>,</w:t>
      </w:r>
    </w:p>
    <w:p w:rsidR="00922864" w:rsidRPr="003129E1" w:rsidRDefault="00014566" w:rsidP="003129E1">
      <w:pPr>
        <w:pStyle w:val="ECHRPara"/>
      </w:pPr>
      <w:r w:rsidRPr="003129E1">
        <w:t>Delivers the following judgment, which was adopted on that date:</w:t>
      </w:r>
    </w:p>
    <w:p w:rsidR="00014566" w:rsidRPr="003129E1" w:rsidRDefault="00014566" w:rsidP="003129E1">
      <w:pPr>
        <w:pStyle w:val="ECHRTitle1"/>
      </w:pPr>
      <w:r w:rsidRPr="003129E1">
        <w:t>PROCEDURE</w:t>
      </w:r>
    </w:p>
    <w:p w:rsidR="006C3181" w:rsidRPr="003129E1" w:rsidRDefault="0098166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1</w:t>
      </w:r>
      <w:r w:rsidRPr="003129E1">
        <w:rPr>
          <w:noProof/>
        </w:rPr>
        <w:fldChar w:fldCharType="end"/>
      </w:r>
      <w:r w:rsidR="00014566" w:rsidRPr="003129E1">
        <w:t xml:space="preserve">.  The case originated in </w:t>
      </w:r>
      <w:r w:rsidR="006C3181" w:rsidRPr="003129E1">
        <w:t>an application (no. 21759/15)</w:t>
      </w:r>
      <w:r w:rsidR="00014566" w:rsidRPr="003129E1">
        <w:t xml:space="preserve"> against </w:t>
      </w:r>
      <w:r w:rsidR="006C3181" w:rsidRPr="003129E1">
        <w:t>the Italian Republic</w:t>
      </w:r>
      <w:r w:rsidR="00014566" w:rsidRPr="003129E1">
        <w:t xml:space="preserve"> lodged with the </w:t>
      </w:r>
      <w:r w:rsidR="006C3181" w:rsidRPr="003129E1">
        <w:t>Court under Article 34</w:t>
      </w:r>
      <w:r w:rsidR="00014566" w:rsidRPr="003129E1">
        <w:t xml:space="preserve"> of the Convention for the Protection of Human Rights and Fundamental Freedoms (“the Convention”) by </w:t>
      </w:r>
      <w:r w:rsidR="006C3181" w:rsidRPr="003129E1">
        <w:t>an Italian national, Ms Tiziana Pennino (“the applicant”), on 27 April 2015</w:t>
      </w:r>
      <w:r w:rsidR="00014566" w:rsidRPr="003129E1">
        <w:t>.</w:t>
      </w:r>
    </w:p>
    <w:p w:rsidR="006C3181" w:rsidRPr="003129E1" w:rsidRDefault="0098166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2</w:t>
      </w:r>
      <w:r w:rsidRPr="003129E1">
        <w:rPr>
          <w:noProof/>
        </w:rPr>
        <w:fldChar w:fldCharType="end"/>
      </w:r>
      <w:r w:rsidR="00014566" w:rsidRPr="003129E1">
        <w:t>.  </w:t>
      </w:r>
      <w:r w:rsidR="006C3181" w:rsidRPr="003129E1">
        <w:t xml:space="preserve">The applicant was represented by Mrs A. Mascia, a lawyer practising in </w:t>
      </w:r>
      <w:r w:rsidR="00F710A0" w:rsidRPr="003129E1">
        <w:t>Verona</w:t>
      </w:r>
      <w:r w:rsidR="008E3C90" w:rsidRPr="003129E1">
        <w:t xml:space="preserve"> and Strasbourg</w:t>
      </w:r>
      <w:r w:rsidR="006C3181" w:rsidRPr="003129E1">
        <w:t xml:space="preserve">. </w:t>
      </w:r>
      <w:r w:rsidR="00014566" w:rsidRPr="003129E1">
        <w:t xml:space="preserve">The </w:t>
      </w:r>
      <w:r w:rsidR="006C3181" w:rsidRPr="003129E1">
        <w:t>Italian</w:t>
      </w:r>
      <w:r w:rsidR="00014566" w:rsidRPr="003129E1">
        <w:t xml:space="preserve"> Government (“the Government”) were represented by their Agent</w:t>
      </w:r>
      <w:r w:rsidR="00481B73" w:rsidRPr="003129E1">
        <w:t>, Mrs E. Spatafora, and their co-Agent, Mr</w:t>
      </w:r>
      <w:r w:rsidR="008840CB" w:rsidRPr="003129E1">
        <w:t>s </w:t>
      </w:r>
      <w:r w:rsidR="003129E1" w:rsidRPr="003129E1">
        <w:t>P. </w:t>
      </w:r>
      <w:r w:rsidR="00481B73" w:rsidRPr="003129E1">
        <w:t>Accardo.</w:t>
      </w:r>
    </w:p>
    <w:p w:rsidR="00014566" w:rsidRPr="003129E1" w:rsidRDefault="0098166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3</w:t>
      </w:r>
      <w:r w:rsidRPr="003129E1">
        <w:rPr>
          <w:noProof/>
        </w:rPr>
        <w:fldChar w:fldCharType="end"/>
      </w:r>
      <w:r w:rsidR="006C3181" w:rsidRPr="003129E1">
        <w:t xml:space="preserve">.  The applicant alleged </w:t>
      </w:r>
      <w:r w:rsidR="00EC1FD6" w:rsidRPr="003129E1">
        <w:t>that she had been ill-treated by the police and that the authorities had not carried out an effective investigation into her allegations.</w:t>
      </w:r>
    </w:p>
    <w:p w:rsidR="00014566" w:rsidRPr="003129E1" w:rsidRDefault="0098166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4</w:t>
      </w:r>
      <w:r w:rsidRPr="003129E1">
        <w:rPr>
          <w:noProof/>
        </w:rPr>
        <w:fldChar w:fldCharType="end"/>
      </w:r>
      <w:r w:rsidR="00014566" w:rsidRPr="003129E1">
        <w:t>.  </w:t>
      </w:r>
      <w:r w:rsidR="006C3181" w:rsidRPr="003129E1">
        <w:t>On 25 April 2016</w:t>
      </w:r>
      <w:r w:rsidR="00014566" w:rsidRPr="003129E1">
        <w:t xml:space="preserve"> the </w:t>
      </w:r>
      <w:r w:rsidR="006C3181" w:rsidRPr="003129E1">
        <w:t>application was communicated to the Government</w:t>
      </w:r>
      <w:r w:rsidR="00014566" w:rsidRPr="003129E1">
        <w:t>.</w:t>
      </w:r>
    </w:p>
    <w:p w:rsidR="00014566" w:rsidRPr="003129E1" w:rsidRDefault="00014566" w:rsidP="003129E1">
      <w:pPr>
        <w:pStyle w:val="ECHRTitle1"/>
      </w:pPr>
      <w:r w:rsidRPr="003129E1">
        <w:t>THE FACTS</w:t>
      </w:r>
    </w:p>
    <w:p w:rsidR="00014566" w:rsidRPr="003129E1" w:rsidRDefault="00014566" w:rsidP="003129E1">
      <w:pPr>
        <w:pStyle w:val="ECHRHeading1"/>
      </w:pPr>
      <w:r w:rsidRPr="003129E1">
        <w:t>THE CIRCUMSTANCES OF THE CASE</w:t>
      </w:r>
    </w:p>
    <w:p w:rsidR="00CD3F26" w:rsidRPr="003129E1" w:rsidRDefault="00CD3F26"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5</w:t>
      </w:r>
      <w:r w:rsidRPr="003129E1">
        <w:fldChar w:fldCharType="end"/>
      </w:r>
      <w:r w:rsidRPr="003129E1">
        <w:t>.  </w:t>
      </w:r>
      <w:r w:rsidR="00014566" w:rsidRPr="003129E1">
        <w:t xml:space="preserve">The </w:t>
      </w:r>
      <w:r w:rsidR="006C3181" w:rsidRPr="003129E1">
        <w:t>applicant was born in 1969 and lives</w:t>
      </w:r>
      <w:r w:rsidR="00014566" w:rsidRPr="003129E1">
        <w:t xml:space="preserve"> in </w:t>
      </w:r>
      <w:r w:rsidR="006C3181" w:rsidRPr="003129E1">
        <w:t>Benevent</w:t>
      </w:r>
      <w:r w:rsidRPr="003129E1">
        <w:t>o</w:t>
      </w:r>
      <w:r w:rsidR="00014566" w:rsidRPr="003129E1">
        <w:t>.</w:t>
      </w:r>
    </w:p>
    <w:p w:rsidR="00CD3F26" w:rsidRPr="003129E1" w:rsidRDefault="002855F4" w:rsidP="003129E1">
      <w:pPr>
        <w:pStyle w:val="ECHRHeading2"/>
      </w:pPr>
      <w:r w:rsidRPr="003129E1">
        <w:lastRenderedPageBreak/>
        <w:t>A</w:t>
      </w:r>
      <w:r w:rsidR="00CD3F26" w:rsidRPr="003129E1">
        <w:t>.  The events of 2 April 2013</w:t>
      </w:r>
    </w:p>
    <w:p w:rsidR="00CD3F26" w:rsidRPr="003129E1" w:rsidRDefault="00CD3F26"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6</w:t>
      </w:r>
      <w:r w:rsidRPr="003129E1">
        <w:fldChar w:fldCharType="end"/>
      </w:r>
      <w:r w:rsidRPr="003129E1">
        <w:t xml:space="preserve">.  On 2 April 2013, between 1 and 1.15 p.m., the applicant was stopped by two officers of the Benevento </w:t>
      </w:r>
      <w:r w:rsidR="00E4236D" w:rsidRPr="003129E1">
        <w:t>m</w:t>
      </w:r>
      <w:r w:rsidRPr="003129E1">
        <w:t xml:space="preserve">unicipal </w:t>
      </w:r>
      <w:r w:rsidR="00E4236D" w:rsidRPr="003129E1">
        <w:t>p</w:t>
      </w:r>
      <w:r w:rsidRPr="003129E1">
        <w:t>olice while she was driving her car.</w:t>
      </w:r>
    </w:p>
    <w:p w:rsidR="009E7C75" w:rsidRPr="003129E1" w:rsidRDefault="00CD3F26"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7</w:t>
      </w:r>
      <w:r w:rsidRPr="003129E1">
        <w:fldChar w:fldCharType="end"/>
      </w:r>
      <w:r w:rsidRPr="003129E1">
        <w:t>.  According to the applicant, the police officers checked her driver</w:t>
      </w:r>
      <w:r w:rsidR="003129E1" w:rsidRPr="003129E1">
        <w:t>’</w:t>
      </w:r>
      <w:r w:rsidRPr="003129E1">
        <w:t xml:space="preserve">s licence and her vehicle documents. </w:t>
      </w:r>
      <w:r w:rsidR="008C579F" w:rsidRPr="003129E1">
        <w:t xml:space="preserve">An argument broke out between the applicant and the officers. </w:t>
      </w:r>
      <w:r w:rsidR="00B6707F" w:rsidRPr="003129E1">
        <w:t>In the applicant</w:t>
      </w:r>
      <w:r w:rsidR="003129E1" w:rsidRPr="003129E1">
        <w:t>’</w:t>
      </w:r>
      <w:r w:rsidR="00B6707F" w:rsidRPr="003129E1">
        <w:t>s view, her</w:t>
      </w:r>
      <w:r w:rsidRPr="003129E1">
        <w:t xml:space="preserve"> nervous and hostile attitude led the police officers to suspect that she was intoxicated, </w:t>
      </w:r>
      <w:r w:rsidR="00BB08F7" w:rsidRPr="003129E1">
        <w:t xml:space="preserve">which she </w:t>
      </w:r>
      <w:r w:rsidRPr="003129E1">
        <w:t xml:space="preserve">denied. As the officers did not have the necessary equipment to perform a breathalyser test, they requested the assistance of the </w:t>
      </w:r>
      <w:r w:rsidR="00FC5AD0" w:rsidRPr="003129E1">
        <w:t>road</w:t>
      </w:r>
      <w:r w:rsidR="00E4236D" w:rsidRPr="003129E1">
        <w:t xml:space="preserve"> p</w:t>
      </w:r>
      <w:r w:rsidRPr="003129E1">
        <w:t>olice (</w:t>
      </w:r>
      <w:r w:rsidRPr="003129E1">
        <w:rPr>
          <w:i/>
        </w:rPr>
        <w:t>Polizia Stradale</w:t>
      </w:r>
      <w:r w:rsidRPr="003129E1">
        <w:t>). The</w:t>
      </w:r>
      <w:r w:rsidR="00D84534" w:rsidRPr="003129E1">
        <w:t xml:space="preserve"> appl</w:t>
      </w:r>
      <w:r w:rsidR="00BB08F7" w:rsidRPr="003129E1">
        <w:t>i</w:t>
      </w:r>
      <w:r w:rsidR="00D84534" w:rsidRPr="003129E1">
        <w:t>cant</w:t>
      </w:r>
      <w:r w:rsidRPr="003129E1">
        <w:t xml:space="preserve"> returned to her car. Once she had got back into the vehicle, one of the police officers pulled the car door open and dragged her out by the arm.</w:t>
      </w:r>
    </w:p>
    <w:p w:rsidR="00CD3F26" w:rsidRPr="003129E1" w:rsidRDefault="0098166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8</w:t>
      </w:r>
      <w:r w:rsidRPr="003129E1">
        <w:rPr>
          <w:noProof/>
        </w:rPr>
        <w:fldChar w:fldCharType="end"/>
      </w:r>
      <w:r w:rsidR="00CD3F26" w:rsidRPr="003129E1">
        <w:t>.  </w:t>
      </w:r>
      <w:r w:rsidR="00711E43" w:rsidRPr="003129E1">
        <w:t xml:space="preserve">As recorded in the </w:t>
      </w:r>
      <w:r w:rsidR="00E4236D" w:rsidRPr="003129E1">
        <w:t>m</w:t>
      </w:r>
      <w:r w:rsidR="00CD3F26" w:rsidRPr="003129E1">
        <w:t xml:space="preserve">unicipal </w:t>
      </w:r>
      <w:r w:rsidR="00E4236D" w:rsidRPr="003129E1">
        <w:t>p</w:t>
      </w:r>
      <w:r w:rsidR="00CD3F26" w:rsidRPr="003129E1">
        <w:t>olice</w:t>
      </w:r>
      <w:r w:rsidR="00711E43" w:rsidRPr="003129E1">
        <w:t xml:space="preserve"> officers</w:t>
      </w:r>
      <w:r w:rsidR="003129E1" w:rsidRPr="003129E1">
        <w:t>’</w:t>
      </w:r>
      <w:r w:rsidR="00CD3F26" w:rsidRPr="003129E1">
        <w:t xml:space="preserve"> </w:t>
      </w:r>
      <w:r w:rsidR="00BB08F7" w:rsidRPr="003129E1">
        <w:t xml:space="preserve">report of </w:t>
      </w:r>
      <w:r w:rsidR="00CD3F26" w:rsidRPr="003129E1">
        <w:t>3</w:t>
      </w:r>
      <w:r w:rsidR="00711E43" w:rsidRPr="003129E1">
        <w:t> </w:t>
      </w:r>
      <w:r w:rsidR="00CD3F26" w:rsidRPr="003129E1">
        <w:t xml:space="preserve">April 2013, the applicant </w:t>
      </w:r>
      <w:r w:rsidR="00711E43" w:rsidRPr="003129E1">
        <w:t>had been</w:t>
      </w:r>
      <w:r w:rsidR="00CD3F26" w:rsidRPr="003129E1">
        <w:t xml:space="preserve"> stopped because she </w:t>
      </w:r>
      <w:r w:rsidR="00BB08F7" w:rsidRPr="003129E1">
        <w:t xml:space="preserve">had been </w:t>
      </w:r>
      <w:r w:rsidR="00CD3F26" w:rsidRPr="003129E1">
        <w:t xml:space="preserve">driving in an erratic manner, </w:t>
      </w:r>
      <w:r w:rsidR="00CD3F26" w:rsidRPr="003129E1">
        <w:rPr>
          <w:bCs/>
        </w:rPr>
        <w:t>braking suddenly</w:t>
      </w:r>
      <w:r w:rsidR="00CD3F26" w:rsidRPr="003129E1">
        <w:t xml:space="preserve"> and changing lanes abruptly. The applicant did not seem to be able to exit the vehicle by herself and had </w:t>
      </w:r>
      <w:r w:rsidR="00BB08F7" w:rsidRPr="003129E1">
        <w:t xml:space="preserve">had </w:t>
      </w:r>
      <w:r w:rsidR="00CD3F26" w:rsidRPr="003129E1">
        <w:t xml:space="preserve">to be assisted by one of the officers. The officers reported that they </w:t>
      </w:r>
      <w:r w:rsidR="00BB08F7" w:rsidRPr="003129E1">
        <w:t xml:space="preserve">had </w:t>
      </w:r>
      <w:r w:rsidR="00CD3F26" w:rsidRPr="003129E1">
        <w:t>smel</w:t>
      </w:r>
      <w:r w:rsidR="00BB08F7" w:rsidRPr="003129E1">
        <w:t>t</w:t>
      </w:r>
      <w:r w:rsidR="00CD3F26" w:rsidRPr="003129E1">
        <w:t xml:space="preserve"> alcohol on her breath</w:t>
      </w:r>
      <w:r w:rsidR="00B30241" w:rsidRPr="003129E1">
        <w:t xml:space="preserve"> and that </w:t>
      </w:r>
      <w:r w:rsidR="00E4236D" w:rsidRPr="003129E1">
        <w:t xml:space="preserve">she had been unsteady on </w:t>
      </w:r>
      <w:r w:rsidR="00B30241" w:rsidRPr="003129E1">
        <w:t xml:space="preserve">her </w:t>
      </w:r>
      <w:r w:rsidR="00E4236D" w:rsidRPr="003129E1">
        <w:t>feet</w:t>
      </w:r>
      <w:r w:rsidR="00CD3F26" w:rsidRPr="003129E1">
        <w:t xml:space="preserve">. The applicant </w:t>
      </w:r>
      <w:r w:rsidR="00BB08F7" w:rsidRPr="003129E1">
        <w:t xml:space="preserve">had </w:t>
      </w:r>
      <w:r w:rsidR="00CD3F26" w:rsidRPr="003129E1">
        <w:t>insulted and threatened them.</w:t>
      </w:r>
    </w:p>
    <w:p w:rsidR="009E7C75" w:rsidRPr="003129E1" w:rsidRDefault="0098166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9</w:t>
      </w:r>
      <w:r w:rsidRPr="003129E1">
        <w:rPr>
          <w:noProof/>
        </w:rPr>
        <w:fldChar w:fldCharType="end"/>
      </w:r>
      <w:r w:rsidR="00CD3F26" w:rsidRPr="003129E1">
        <w:t xml:space="preserve">.  At 1.30 p.m. </w:t>
      </w:r>
      <w:r w:rsidR="00E4236D" w:rsidRPr="003129E1">
        <w:t xml:space="preserve">traffic police </w:t>
      </w:r>
      <w:r w:rsidR="00CD3F26" w:rsidRPr="003129E1">
        <w:t xml:space="preserve">officers arrived on the scene </w:t>
      </w:r>
      <w:r w:rsidR="008007B1" w:rsidRPr="003129E1">
        <w:t xml:space="preserve">with the </w:t>
      </w:r>
      <w:r w:rsidR="00E4236D" w:rsidRPr="003129E1">
        <w:t xml:space="preserve">breathalyser </w:t>
      </w:r>
      <w:r w:rsidR="008007B1" w:rsidRPr="003129E1">
        <w:t>equipment.</w:t>
      </w:r>
    </w:p>
    <w:p w:rsidR="00CD3F26" w:rsidRPr="003129E1" w:rsidRDefault="0098166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10</w:t>
      </w:r>
      <w:r w:rsidRPr="003129E1">
        <w:rPr>
          <w:noProof/>
        </w:rPr>
        <w:fldChar w:fldCharType="end"/>
      </w:r>
      <w:r w:rsidR="00CD3F26" w:rsidRPr="003129E1">
        <w:t xml:space="preserve">.  According to the applicant, she was not able to take the test because she was in a state of anxiety that </w:t>
      </w:r>
      <w:r w:rsidR="00BB08F7" w:rsidRPr="003129E1">
        <w:t xml:space="preserve">had been </w:t>
      </w:r>
      <w:r w:rsidR="00CD3F26" w:rsidRPr="003129E1">
        <w:t xml:space="preserve">exacerbated by one of the officers shouting at her that she was drunk. That </w:t>
      </w:r>
      <w:r w:rsidR="00351BF7" w:rsidRPr="003129E1">
        <w:t xml:space="preserve">had </w:t>
      </w:r>
      <w:r w:rsidR="00CD3F26" w:rsidRPr="003129E1">
        <w:t xml:space="preserve">caused her to tremble and </w:t>
      </w:r>
      <w:r w:rsidR="00351BF7" w:rsidRPr="003129E1">
        <w:t xml:space="preserve">had meant </w:t>
      </w:r>
      <w:r w:rsidR="00CD3F26" w:rsidRPr="003129E1">
        <w:t xml:space="preserve">she could not keep the breathalyser </w:t>
      </w:r>
      <w:r w:rsidR="00351BF7" w:rsidRPr="003129E1">
        <w:t xml:space="preserve">tube </w:t>
      </w:r>
      <w:r w:rsidR="00CD3F26" w:rsidRPr="003129E1">
        <w:t xml:space="preserve">in her mouth. The applicant requested that </w:t>
      </w:r>
      <w:r w:rsidR="00E4236D" w:rsidRPr="003129E1">
        <w:rPr>
          <w:i/>
        </w:rPr>
        <w:t>c</w:t>
      </w:r>
      <w:r w:rsidR="00CD3F26" w:rsidRPr="003129E1">
        <w:rPr>
          <w:i/>
        </w:rPr>
        <w:t>arabinieri</w:t>
      </w:r>
      <w:r w:rsidR="00CD3F26" w:rsidRPr="003129E1">
        <w:t xml:space="preserve"> be called to the scene, but the request was denied.</w:t>
      </w:r>
    </w:p>
    <w:bookmarkStart w:id="2" w:name="Road_police_Report"/>
    <w:p w:rsidR="009E7C75" w:rsidRPr="003129E1" w:rsidRDefault="00CE4AC3"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11</w:t>
      </w:r>
      <w:r w:rsidRPr="003129E1">
        <w:rPr>
          <w:noProof/>
        </w:rPr>
        <w:fldChar w:fldCharType="end"/>
      </w:r>
      <w:bookmarkEnd w:id="2"/>
      <w:r w:rsidR="00CD3F26" w:rsidRPr="003129E1">
        <w:t xml:space="preserve">.  According to the </w:t>
      </w:r>
      <w:r w:rsidR="00E4236D" w:rsidRPr="003129E1">
        <w:t xml:space="preserve">traffic police </w:t>
      </w:r>
      <w:r w:rsidR="00351BF7" w:rsidRPr="003129E1">
        <w:t>report</w:t>
      </w:r>
      <w:r w:rsidR="00CD3F26" w:rsidRPr="003129E1">
        <w:t xml:space="preserve"> (</w:t>
      </w:r>
      <w:r w:rsidR="00CD3F26" w:rsidRPr="003129E1">
        <w:rPr>
          <w:i/>
        </w:rPr>
        <w:t>annotazione di servizio della Polizia Stradale</w:t>
      </w:r>
      <w:r w:rsidR="00CD3F26" w:rsidRPr="003129E1">
        <w:t xml:space="preserve">), the applicant agreed to be breathalysed, but did not blow into the device in the manner she had been told to do by the officers and refused to cooperate. At one point she </w:t>
      </w:r>
      <w:r w:rsidR="00351BF7" w:rsidRPr="003129E1">
        <w:t xml:space="preserve">had </w:t>
      </w:r>
      <w:r w:rsidR="00CD3F26" w:rsidRPr="003129E1">
        <w:t>thr</w:t>
      </w:r>
      <w:r w:rsidR="00351BF7" w:rsidRPr="003129E1">
        <w:t>o</w:t>
      </w:r>
      <w:r w:rsidR="00CD3F26" w:rsidRPr="003129E1">
        <w:t>w</w:t>
      </w:r>
      <w:r w:rsidR="00351BF7" w:rsidRPr="003129E1">
        <w:t>n</w:t>
      </w:r>
      <w:r w:rsidR="00CD3F26" w:rsidRPr="003129E1">
        <w:t xml:space="preserve"> the device</w:t>
      </w:r>
      <w:r w:rsidR="003129E1" w:rsidRPr="003129E1">
        <w:t>’</w:t>
      </w:r>
      <w:r w:rsidR="00CD3F26" w:rsidRPr="003129E1">
        <w:t>s mouthpiece into the face of one of the officers. The applicant was described as being in a “clearly altered” state, smelling strongly of alcohol and staggering.</w:t>
      </w:r>
    </w:p>
    <w:p w:rsidR="00CD3F26" w:rsidRPr="003129E1" w:rsidRDefault="0098166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12</w:t>
      </w:r>
      <w:r w:rsidRPr="003129E1">
        <w:rPr>
          <w:noProof/>
        </w:rPr>
        <w:fldChar w:fldCharType="end"/>
      </w:r>
      <w:r w:rsidR="00CD3F26" w:rsidRPr="003129E1">
        <w:t xml:space="preserve">.  The applicant was </w:t>
      </w:r>
      <w:r w:rsidR="00351BF7" w:rsidRPr="003129E1">
        <w:t xml:space="preserve">taken </w:t>
      </w:r>
      <w:r w:rsidR="00CD3F26" w:rsidRPr="003129E1">
        <w:t xml:space="preserve">to the </w:t>
      </w:r>
      <w:r w:rsidR="00E4236D" w:rsidRPr="003129E1">
        <w:t>m</w:t>
      </w:r>
      <w:r w:rsidR="00CD3F26" w:rsidRPr="003129E1">
        <w:t xml:space="preserve">unicipal </w:t>
      </w:r>
      <w:r w:rsidR="00E4236D" w:rsidRPr="003129E1">
        <w:t>p</w:t>
      </w:r>
      <w:r w:rsidR="00CD3F26" w:rsidRPr="003129E1">
        <w:t xml:space="preserve">olice </w:t>
      </w:r>
      <w:r w:rsidR="00E4236D" w:rsidRPr="003129E1">
        <w:t>s</w:t>
      </w:r>
      <w:r w:rsidR="00CD3F26" w:rsidRPr="003129E1">
        <w:t>tation (</w:t>
      </w:r>
      <w:r w:rsidR="00CD3F26" w:rsidRPr="003129E1">
        <w:rPr>
          <w:i/>
        </w:rPr>
        <w:t>Comando di Polizia Municipale</w:t>
      </w:r>
      <w:r w:rsidR="00CD3F26" w:rsidRPr="003129E1">
        <w:t>), where she arrived at approximately 1.50 p.m.</w:t>
      </w:r>
    </w:p>
    <w:p w:rsidR="00CD3F26" w:rsidRPr="003129E1" w:rsidRDefault="0098166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13</w:t>
      </w:r>
      <w:r w:rsidRPr="003129E1">
        <w:rPr>
          <w:noProof/>
        </w:rPr>
        <w:fldChar w:fldCharType="end"/>
      </w:r>
      <w:r w:rsidR="00CD3F26" w:rsidRPr="003129E1">
        <w:t xml:space="preserve">.  According to the applicant, once at the station the lieutenant on duty started drafting </w:t>
      </w:r>
      <w:r w:rsidR="00CD3F26" w:rsidRPr="003129E1">
        <w:rPr>
          <w:lang w:val="en"/>
        </w:rPr>
        <w:t>an offence report (</w:t>
      </w:r>
      <w:r w:rsidR="00CD3F26" w:rsidRPr="003129E1">
        <w:rPr>
          <w:i/>
          <w:lang w:val="en"/>
        </w:rPr>
        <w:t>verbale di contestazione</w:t>
      </w:r>
      <w:r w:rsidR="00CD3F26" w:rsidRPr="003129E1">
        <w:rPr>
          <w:lang w:val="en"/>
        </w:rPr>
        <w:t>)</w:t>
      </w:r>
      <w:r w:rsidR="00CD3F26" w:rsidRPr="003129E1">
        <w:t xml:space="preserve"> for driving under the influence of alcohol. The two officers who had stopped her in the street and escorted her to the station </w:t>
      </w:r>
      <w:r w:rsidR="00351BF7" w:rsidRPr="003129E1">
        <w:t xml:space="preserve">and </w:t>
      </w:r>
      <w:r w:rsidR="00E4236D" w:rsidRPr="003129E1">
        <w:t>an</w:t>
      </w:r>
      <w:r w:rsidR="00351BF7" w:rsidRPr="003129E1">
        <w:t xml:space="preserve">other officer </w:t>
      </w:r>
      <w:r w:rsidR="00CD3F26" w:rsidRPr="003129E1">
        <w:t>were also present. She repeatedly requested that she be a</w:t>
      </w:r>
      <w:r w:rsidR="00351BF7" w:rsidRPr="003129E1">
        <w:t xml:space="preserve">llowed </w:t>
      </w:r>
      <w:r w:rsidR="00CD3F26" w:rsidRPr="003129E1">
        <w:t xml:space="preserve">to use a telephone to let her family and her lawyer know of her whereabouts but her requests were denied. When she tried to pick up a telephone, one of the officers hit her in order to make her sit down. The same officer twisted </w:t>
      </w:r>
      <w:r w:rsidR="00351BF7" w:rsidRPr="003129E1">
        <w:t xml:space="preserve">her </w:t>
      </w:r>
      <w:r w:rsidR="00CD3F26" w:rsidRPr="003129E1">
        <w:t xml:space="preserve">arms behind her </w:t>
      </w:r>
      <w:r w:rsidR="00CD3F26" w:rsidRPr="003129E1">
        <w:lastRenderedPageBreak/>
        <w:t>back and handcuffed her, hurting her wrists. He then squeezed her buttocks and asked her if the handcuffs were tight enough. The applicant started screaming loudly and the officer removed the handcuffs</w:t>
      </w:r>
      <w:r w:rsidR="00497981" w:rsidRPr="003129E1">
        <w:t xml:space="preserve"> in a violent manner</w:t>
      </w:r>
      <w:r w:rsidR="00CD3F26" w:rsidRPr="003129E1">
        <w:t xml:space="preserve">. </w:t>
      </w:r>
      <w:r w:rsidR="006B1D85" w:rsidRPr="003129E1">
        <w:t xml:space="preserve">In </w:t>
      </w:r>
      <w:r w:rsidR="00351BF7" w:rsidRPr="003129E1">
        <w:t>doing so</w:t>
      </w:r>
      <w:r w:rsidR="00CD3F26" w:rsidRPr="003129E1">
        <w:t>, he fractured the applicant</w:t>
      </w:r>
      <w:r w:rsidR="003129E1" w:rsidRPr="003129E1">
        <w:t>’</w:t>
      </w:r>
      <w:r w:rsidR="00CD3F26" w:rsidRPr="003129E1">
        <w:t xml:space="preserve">s right thumb and caused other injuries to her wrists. He then warned </w:t>
      </w:r>
      <w:r w:rsidR="00E4236D" w:rsidRPr="003129E1">
        <w:t xml:space="preserve">her </w:t>
      </w:r>
      <w:r w:rsidR="00CD3F26" w:rsidRPr="003129E1">
        <w:t>not to cause further trouble</w:t>
      </w:r>
      <w:r w:rsidR="00AC49C5" w:rsidRPr="003129E1">
        <w:t xml:space="preserve"> and threatened her</w:t>
      </w:r>
      <w:r w:rsidR="004A4D1D" w:rsidRPr="003129E1">
        <w:t>.</w:t>
      </w:r>
      <w:r w:rsidR="00CD3F26" w:rsidRPr="003129E1">
        <w:t xml:space="preserve"> </w:t>
      </w:r>
      <w:r w:rsidR="00351BF7" w:rsidRPr="003129E1">
        <w:t>T</w:t>
      </w:r>
      <w:r w:rsidR="00CD3F26" w:rsidRPr="003129E1">
        <w:t xml:space="preserve">he applicant left the station </w:t>
      </w:r>
      <w:r w:rsidR="00351BF7" w:rsidRPr="003129E1">
        <w:t xml:space="preserve">between 2.15 and 2.30 p.m. and proceeded further </w:t>
      </w:r>
      <w:r w:rsidR="00CD3F26" w:rsidRPr="003129E1">
        <w:t>on foot as her car had been seized.</w:t>
      </w:r>
    </w:p>
    <w:bookmarkStart w:id="3" w:name="Main_Municipal_police_reports"/>
    <w:p w:rsidR="009E7C75" w:rsidRPr="003129E1" w:rsidRDefault="00CD3F26"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14</w:t>
      </w:r>
      <w:r w:rsidRPr="003129E1">
        <w:fldChar w:fldCharType="end"/>
      </w:r>
      <w:bookmarkEnd w:id="3"/>
      <w:r w:rsidRPr="003129E1">
        <w:t>.  </w:t>
      </w:r>
      <w:r w:rsidR="0000438C" w:rsidRPr="003129E1">
        <w:t xml:space="preserve">As recorded in the </w:t>
      </w:r>
      <w:r w:rsidR="001D0F46" w:rsidRPr="003129E1">
        <w:t xml:space="preserve">joint </w:t>
      </w:r>
      <w:r w:rsidR="0000438C" w:rsidRPr="003129E1">
        <w:t xml:space="preserve">report </w:t>
      </w:r>
      <w:r w:rsidR="003B76B0" w:rsidRPr="003129E1">
        <w:t xml:space="preserve">issued on 3 April 2013 </w:t>
      </w:r>
      <w:r w:rsidR="0000438C" w:rsidRPr="003129E1">
        <w:t>by</w:t>
      </w:r>
      <w:r w:rsidR="001D0F46" w:rsidRPr="003129E1">
        <w:t xml:space="preserve"> the</w:t>
      </w:r>
      <w:r w:rsidR="003B76B0" w:rsidRPr="003129E1">
        <w:t xml:space="preserve"> two </w:t>
      </w:r>
      <w:r w:rsidR="00E4236D" w:rsidRPr="003129E1">
        <w:t>m</w:t>
      </w:r>
      <w:r w:rsidR="0000438C" w:rsidRPr="003129E1">
        <w:t xml:space="preserve">unicipal </w:t>
      </w:r>
      <w:r w:rsidR="00E4236D" w:rsidRPr="003129E1">
        <w:t>p</w:t>
      </w:r>
      <w:r w:rsidR="0000438C" w:rsidRPr="003129E1">
        <w:t>olice officers</w:t>
      </w:r>
      <w:r w:rsidR="003B76B0" w:rsidRPr="003129E1">
        <w:t xml:space="preserve"> who had stopped her in the street and </w:t>
      </w:r>
      <w:r w:rsidRPr="003129E1">
        <w:t xml:space="preserve">the lieutenant on duty </w:t>
      </w:r>
      <w:r w:rsidR="003B76B0" w:rsidRPr="003129E1">
        <w:t xml:space="preserve">at the </w:t>
      </w:r>
      <w:r w:rsidR="00E4236D" w:rsidRPr="003129E1">
        <w:t>m</w:t>
      </w:r>
      <w:r w:rsidR="003B76B0" w:rsidRPr="003129E1">
        <w:t xml:space="preserve">unicipal </w:t>
      </w:r>
      <w:r w:rsidR="00E4236D" w:rsidRPr="003129E1">
        <w:t>p</w:t>
      </w:r>
      <w:r w:rsidR="003B76B0" w:rsidRPr="003129E1">
        <w:t xml:space="preserve">olice </w:t>
      </w:r>
      <w:r w:rsidR="00E4236D" w:rsidRPr="003129E1">
        <w:t>s</w:t>
      </w:r>
      <w:r w:rsidR="003B76B0" w:rsidRPr="003129E1">
        <w:t xml:space="preserve">tation, upon her arrival at the station the applicant </w:t>
      </w:r>
      <w:r w:rsidR="00351BF7" w:rsidRPr="003129E1">
        <w:t xml:space="preserve">had </w:t>
      </w:r>
      <w:r w:rsidR="003B76B0" w:rsidRPr="003129E1">
        <w:t>started threatening and insulting them</w:t>
      </w:r>
      <w:r w:rsidRPr="003129E1">
        <w:t>. When the lieutenant started drafting the offence report, she grabbed a telephone from a desk an</w:t>
      </w:r>
      <w:r w:rsidR="00035AA3" w:rsidRPr="003129E1">
        <w:t xml:space="preserve">d ran into the </w:t>
      </w:r>
      <w:r w:rsidR="00E4236D" w:rsidRPr="003129E1">
        <w:t>corridor</w:t>
      </w:r>
      <w:r w:rsidR="00035AA3" w:rsidRPr="003129E1">
        <w:t xml:space="preserve">. When the lieutenant </w:t>
      </w:r>
      <w:r w:rsidRPr="003129E1">
        <w:t xml:space="preserve">tried to stop her, the applicant pushed him violently, causing him to fall. She then threw the telephone out of the window. The applicant, who was in an extremely agitated state, pushed and kicked the other two officers, and they eventually handcuffed her. When the applicant calmed down, the handcuffs were removed. The applicant ran out of the station, leaving her bag and personal </w:t>
      </w:r>
      <w:r w:rsidR="00351BF7" w:rsidRPr="003129E1">
        <w:t xml:space="preserve">belongings </w:t>
      </w:r>
      <w:r w:rsidRPr="003129E1">
        <w:t>behind. Her vehicle and driver</w:t>
      </w:r>
      <w:r w:rsidR="003129E1" w:rsidRPr="003129E1">
        <w:t>’</w:t>
      </w:r>
      <w:r w:rsidRPr="003129E1">
        <w:t xml:space="preserve">s licence </w:t>
      </w:r>
      <w:r w:rsidR="00351BF7" w:rsidRPr="003129E1">
        <w:t xml:space="preserve">had been </w:t>
      </w:r>
      <w:r w:rsidRPr="003129E1">
        <w:t>seized under road traffic legislation.</w:t>
      </w:r>
      <w:r w:rsidR="006236DE" w:rsidRPr="003129E1">
        <w:t xml:space="preserve"> </w:t>
      </w:r>
      <w:r w:rsidR="005D0C1D" w:rsidRPr="003129E1">
        <w:t>The same</w:t>
      </w:r>
      <w:r w:rsidR="006236DE" w:rsidRPr="003129E1">
        <w:t xml:space="preserve"> account of the </w:t>
      </w:r>
      <w:r w:rsidR="00976F4F" w:rsidRPr="003129E1">
        <w:t>events</w:t>
      </w:r>
      <w:r w:rsidR="00404E8F" w:rsidRPr="003129E1">
        <w:t xml:space="preserve"> is recorded</w:t>
      </w:r>
      <w:r w:rsidR="00B42CE1" w:rsidRPr="003129E1">
        <w:t xml:space="preserve"> in the</w:t>
      </w:r>
      <w:r w:rsidR="00404E8F" w:rsidRPr="003129E1">
        <w:t xml:space="preserve"> </w:t>
      </w:r>
      <w:r w:rsidR="0049549A" w:rsidRPr="003129E1">
        <w:t>offence</w:t>
      </w:r>
      <w:r w:rsidR="00976F4F" w:rsidRPr="003129E1">
        <w:t xml:space="preserve"> </w:t>
      </w:r>
      <w:r w:rsidR="00351BF7" w:rsidRPr="003129E1">
        <w:t xml:space="preserve">notification </w:t>
      </w:r>
      <w:r w:rsidR="00F324BC" w:rsidRPr="003129E1">
        <w:t>(</w:t>
      </w:r>
      <w:r w:rsidR="00F324BC" w:rsidRPr="003129E1">
        <w:rPr>
          <w:i/>
        </w:rPr>
        <w:t>informativa di reato</w:t>
      </w:r>
      <w:r w:rsidR="00F324BC" w:rsidRPr="003129E1">
        <w:t>)</w:t>
      </w:r>
      <w:r w:rsidR="00976F4F" w:rsidRPr="003129E1">
        <w:t xml:space="preserve"> filed by the directing </w:t>
      </w:r>
      <w:r w:rsidR="00351BF7" w:rsidRPr="003129E1">
        <w:t>c</w:t>
      </w:r>
      <w:r w:rsidR="00976F4F" w:rsidRPr="003129E1">
        <w:t xml:space="preserve">ommander of the Benevento </w:t>
      </w:r>
      <w:r w:rsidR="00E4236D" w:rsidRPr="003129E1">
        <w:t>m</w:t>
      </w:r>
      <w:r w:rsidR="00976F4F" w:rsidRPr="003129E1">
        <w:t xml:space="preserve">unicipal </w:t>
      </w:r>
      <w:r w:rsidR="00E4236D" w:rsidRPr="003129E1">
        <w:t>p</w:t>
      </w:r>
      <w:r w:rsidR="00976F4F" w:rsidRPr="003129E1">
        <w:t xml:space="preserve">olice with </w:t>
      </w:r>
      <w:r w:rsidR="00F33FFA" w:rsidRPr="003129E1">
        <w:t xml:space="preserve">the Benevento </w:t>
      </w:r>
      <w:r w:rsidR="00976F4F" w:rsidRPr="003129E1">
        <w:t>public prosecut</w:t>
      </w:r>
      <w:r w:rsidR="00F33FFA" w:rsidRPr="003129E1">
        <w:t>or</w:t>
      </w:r>
      <w:r w:rsidR="00976F4F" w:rsidRPr="003129E1">
        <w:t xml:space="preserve"> on 3</w:t>
      </w:r>
      <w:r w:rsidR="003958DB" w:rsidRPr="003129E1">
        <w:t> </w:t>
      </w:r>
      <w:r w:rsidR="00976F4F" w:rsidRPr="003129E1">
        <w:t>April 2013</w:t>
      </w:r>
      <w:r w:rsidR="00F324BC" w:rsidRPr="003129E1">
        <w:t>.</w:t>
      </w:r>
    </w:p>
    <w:p w:rsidR="0030104D" w:rsidRPr="003129E1" w:rsidRDefault="00CD3F26"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15</w:t>
      </w:r>
      <w:r w:rsidRPr="003129E1">
        <w:fldChar w:fldCharType="end"/>
      </w:r>
      <w:r w:rsidRPr="003129E1">
        <w:t xml:space="preserve">.  According to the applicant, once she had left the station she got a lift to the emergency </w:t>
      </w:r>
      <w:r w:rsidR="00E4236D" w:rsidRPr="003129E1">
        <w:t>department o</w:t>
      </w:r>
      <w:r w:rsidRPr="003129E1">
        <w:t>f a local hospital, where she was examined.</w:t>
      </w:r>
    </w:p>
    <w:bookmarkStart w:id="4" w:name="State_Police_report"/>
    <w:p w:rsidR="00CD3F26" w:rsidRPr="003129E1" w:rsidRDefault="000D1984"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16</w:t>
      </w:r>
      <w:r w:rsidRPr="003129E1">
        <w:fldChar w:fldCharType="end"/>
      </w:r>
      <w:bookmarkEnd w:id="4"/>
      <w:r w:rsidRPr="003129E1">
        <w:t>.  </w:t>
      </w:r>
      <w:r w:rsidR="008F45FC" w:rsidRPr="003129E1">
        <w:t>A</w:t>
      </w:r>
      <w:r w:rsidR="00CD3F26" w:rsidRPr="003129E1">
        <w:t xml:space="preserve">t approximately 8 p.m. </w:t>
      </w:r>
      <w:r w:rsidR="004B3D23" w:rsidRPr="003129E1">
        <w:t>the applicant</w:t>
      </w:r>
      <w:r w:rsidR="00CD3F26" w:rsidRPr="003129E1">
        <w:t xml:space="preserve"> </w:t>
      </w:r>
      <w:r w:rsidR="00351BF7" w:rsidRPr="003129E1">
        <w:t xml:space="preserve">went to </w:t>
      </w:r>
      <w:r w:rsidR="0036453D" w:rsidRPr="003129E1">
        <w:t xml:space="preserve">the </w:t>
      </w:r>
      <w:r w:rsidR="00CD3F26" w:rsidRPr="003129E1">
        <w:t>State Police</w:t>
      </w:r>
      <w:r w:rsidR="00351BF7" w:rsidRPr="003129E1">
        <w:t xml:space="preserve"> </w:t>
      </w:r>
      <w:r w:rsidR="00CD3F26" w:rsidRPr="003129E1">
        <w:t>and attempted, unsuccessfully, to lodge a criminal complaint against</w:t>
      </w:r>
      <w:r w:rsidR="004B3D23" w:rsidRPr="003129E1">
        <w:t xml:space="preserve"> the </w:t>
      </w:r>
      <w:r w:rsidR="0036453D" w:rsidRPr="003129E1">
        <w:t>m</w:t>
      </w:r>
      <w:r w:rsidR="004B3D23" w:rsidRPr="003129E1">
        <w:t xml:space="preserve">unicipal </w:t>
      </w:r>
      <w:r w:rsidR="0036453D" w:rsidRPr="003129E1">
        <w:t>p</w:t>
      </w:r>
      <w:r w:rsidR="004B3D23" w:rsidRPr="003129E1">
        <w:t xml:space="preserve">olice officers. </w:t>
      </w:r>
      <w:r w:rsidR="00F324C7" w:rsidRPr="003129E1">
        <w:t xml:space="preserve">According to the </w:t>
      </w:r>
      <w:r w:rsidR="008F45FC" w:rsidRPr="003129E1">
        <w:t xml:space="preserve">report </w:t>
      </w:r>
      <w:r w:rsidR="00596EA7" w:rsidRPr="003129E1">
        <w:t>of the officer on duty</w:t>
      </w:r>
      <w:r w:rsidR="00351BF7" w:rsidRPr="003129E1">
        <w:t>,</w:t>
      </w:r>
      <w:r w:rsidR="00596EA7" w:rsidRPr="003129E1">
        <w:t xml:space="preserve"> </w:t>
      </w:r>
      <w:r w:rsidR="004B3D23" w:rsidRPr="003129E1">
        <w:t xml:space="preserve">the applicant complained that she had been assaulted by Benevento </w:t>
      </w:r>
      <w:r w:rsidR="0036453D" w:rsidRPr="003129E1">
        <w:t>m</w:t>
      </w:r>
      <w:r w:rsidR="004B3D23" w:rsidRPr="003129E1">
        <w:t xml:space="preserve">unicipal </w:t>
      </w:r>
      <w:r w:rsidR="0036453D" w:rsidRPr="003129E1">
        <w:t>p</w:t>
      </w:r>
      <w:r w:rsidR="004B3D23" w:rsidRPr="003129E1">
        <w:t>olice officers</w:t>
      </w:r>
      <w:r w:rsidRPr="003129E1">
        <w:t xml:space="preserve"> and that her finger had been fractured</w:t>
      </w:r>
      <w:r w:rsidR="004B3D23" w:rsidRPr="003129E1">
        <w:t xml:space="preserve">. </w:t>
      </w:r>
      <w:r w:rsidR="008D3CFB" w:rsidRPr="003129E1">
        <w:t xml:space="preserve">When the </w:t>
      </w:r>
      <w:r w:rsidR="00D33912" w:rsidRPr="003129E1">
        <w:t>officer informed her that</w:t>
      </w:r>
      <w:r w:rsidR="007E72E3" w:rsidRPr="003129E1">
        <w:t xml:space="preserve"> </w:t>
      </w:r>
      <w:r w:rsidR="00531655" w:rsidRPr="003129E1">
        <w:t xml:space="preserve">the </w:t>
      </w:r>
      <w:r w:rsidRPr="003129E1">
        <w:t>she</w:t>
      </w:r>
      <w:r w:rsidR="00531655" w:rsidRPr="003129E1">
        <w:t xml:space="preserve"> could not file a criminal complaint </w:t>
      </w:r>
      <w:r w:rsidR="007E72E3" w:rsidRPr="003129E1">
        <w:t>because</w:t>
      </w:r>
      <w:r w:rsidR="00D33912" w:rsidRPr="003129E1">
        <w:t xml:space="preserve"> the </w:t>
      </w:r>
      <w:r w:rsidR="007E72E3" w:rsidRPr="003129E1">
        <w:t>station was closed</w:t>
      </w:r>
      <w:r w:rsidRPr="003129E1">
        <w:t>,</w:t>
      </w:r>
      <w:r w:rsidR="008D3CFB" w:rsidRPr="003129E1">
        <w:t xml:space="preserve"> t</w:t>
      </w:r>
      <w:r w:rsidR="007E72E3" w:rsidRPr="003129E1">
        <w:t>he applicant started</w:t>
      </w:r>
      <w:r w:rsidR="008D3CFB" w:rsidRPr="003129E1">
        <w:t xml:space="preserve"> </w:t>
      </w:r>
      <w:r w:rsidR="00B25532" w:rsidRPr="003129E1">
        <w:t xml:space="preserve">speaking incoherently in a loud voice. Given her nervous and agitated state, the officer called the </w:t>
      </w:r>
      <w:r w:rsidR="00531655" w:rsidRPr="003129E1">
        <w:t xml:space="preserve">local </w:t>
      </w:r>
      <w:r w:rsidR="0036453D" w:rsidRPr="003129E1">
        <w:rPr>
          <w:i/>
        </w:rPr>
        <w:t>q</w:t>
      </w:r>
      <w:r w:rsidR="00B25532" w:rsidRPr="003129E1">
        <w:rPr>
          <w:i/>
        </w:rPr>
        <w:t>uestura</w:t>
      </w:r>
      <w:r w:rsidR="00B25532" w:rsidRPr="003129E1">
        <w:t xml:space="preserve"> </w:t>
      </w:r>
      <w:r w:rsidR="0036453D" w:rsidRPr="003129E1">
        <w:t xml:space="preserve">(police headquarters) </w:t>
      </w:r>
      <w:r w:rsidR="009A56BD" w:rsidRPr="003129E1">
        <w:t>for backup</w:t>
      </w:r>
      <w:r w:rsidR="00B25532" w:rsidRPr="003129E1">
        <w:t xml:space="preserve">. </w:t>
      </w:r>
      <w:r w:rsidR="00D4788F" w:rsidRPr="003129E1">
        <w:t>The applicant requested that an ambulance be called</w:t>
      </w:r>
      <w:r w:rsidR="00A96A15" w:rsidRPr="003129E1">
        <w:t xml:space="preserve">. </w:t>
      </w:r>
      <w:r w:rsidR="00351BF7" w:rsidRPr="003129E1">
        <w:t>T</w:t>
      </w:r>
      <w:r w:rsidR="00A96A15" w:rsidRPr="003129E1">
        <w:t xml:space="preserve">he ambulance arrived </w:t>
      </w:r>
      <w:r w:rsidR="00351BF7" w:rsidRPr="003129E1">
        <w:t xml:space="preserve">at 8.30 p.m. </w:t>
      </w:r>
      <w:r w:rsidR="00A96A15" w:rsidRPr="003129E1">
        <w:t xml:space="preserve">and the applicant was examined by </w:t>
      </w:r>
      <w:r w:rsidR="00351BF7" w:rsidRPr="003129E1">
        <w:t xml:space="preserve">the </w:t>
      </w:r>
      <w:r w:rsidR="00A96A15" w:rsidRPr="003129E1">
        <w:t xml:space="preserve">ambulance </w:t>
      </w:r>
      <w:r w:rsidR="00351BF7" w:rsidRPr="003129E1">
        <w:t>medics</w:t>
      </w:r>
      <w:r w:rsidR="00A96A15" w:rsidRPr="003129E1">
        <w:t xml:space="preserve">. </w:t>
      </w:r>
      <w:r w:rsidR="00351BF7" w:rsidRPr="003129E1">
        <w:t>S</w:t>
      </w:r>
      <w:r w:rsidR="00A96A15" w:rsidRPr="003129E1">
        <w:t>he was taken home by ambulance</w:t>
      </w:r>
      <w:r w:rsidR="00351BF7" w:rsidRPr="003129E1">
        <w:t xml:space="preserve"> at approximately 9 p.m.</w:t>
      </w:r>
    </w:p>
    <w:p w:rsidR="00CD3F26" w:rsidRPr="003129E1" w:rsidRDefault="002855F4" w:rsidP="003129E1">
      <w:pPr>
        <w:pStyle w:val="ECHRHeading2"/>
      </w:pPr>
      <w:r w:rsidRPr="003129E1">
        <w:t>B</w:t>
      </w:r>
      <w:r w:rsidR="00CD3F26" w:rsidRPr="003129E1">
        <w:t xml:space="preserve">.  Criminal </w:t>
      </w:r>
      <w:r w:rsidR="00224D5D" w:rsidRPr="003129E1">
        <w:t>complaint</w:t>
      </w:r>
      <w:r w:rsidR="00CD3F26" w:rsidRPr="003129E1">
        <w:t xml:space="preserve"> against the police officers</w:t>
      </w:r>
      <w:r w:rsidR="00224D5D" w:rsidRPr="003129E1">
        <w:t xml:space="preserve"> and the ensuing investigation</w:t>
      </w:r>
    </w:p>
    <w:p w:rsidR="009E7C75" w:rsidRPr="003129E1" w:rsidRDefault="00CD3F26"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17</w:t>
      </w:r>
      <w:r w:rsidRPr="003129E1">
        <w:fldChar w:fldCharType="end"/>
      </w:r>
      <w:r w:rsidRPr="003129E1">
        <w:t>.  On 4 April 2013 the applicant lodged a criminal complaint against the two police officers</w:t>
      </w:r>
      <w:r w:rsidR="00726B0F" w:rsidRPr="003129E1">
        <w:t xml:space="preserve"> </w:t>
      </w:r>
      <w:r w:rsidRPr="003129E1">
        <w:t>who had stopped her in the street on 2</w:t>
      </w:r>
      <w:r w:rsidR="008F54A2" w:rsidRPr="003129E1">
        <w:t> </w:t>
      </w:r>
      <w:r w:rsidRPr="003129E1">
        <w:t xml:space="preserve">April 2013 and the other two officers who had been present at the </w:t>
      </w:r>
      <w:r w:rsidR="0036453D" w:rsidRPr="003129E1">
        <w:t>m</w:t>
      </w:r>
      <w:r w:rsidRPr="003129E1">
        <w:t xml:space="preserve">unicipal </w:t>
      </w:r>
      <w:r w:rsidR="0036453D" w:rsidRPr="003129E1">
        <w:t>p</w:t>
      </w:r>
      <w:r w:rsidRPr="003129E1">
        <w:t xml:space="preserve">olice </w:t>
      </w:r>
      <w:r w:rsidR="0036453D" w:rsidRPr="003129E1">
        <w:lastRenderedPageBreak/>
        <w:t>s</w:t>
      </w:r>
      <w:r w:rsidRPr="003129E1">
        <w:t xml:space="preserve">tation, but whose names she </w:t>
      </w:r>
      <w:r w:rsidR="0036453D" w:rsidRPr="003129E1">
        <w:t>did not know</w:t>
      </w:r>
      <w:r w:rsidR="00ED40AA" w:rsidRPr="003129E1">
        <w:t>, alleging</w:t>
      </w:r>
      <w:r w:rsidR="00073012" w:rsidRPr="003129E1">
        <w:t xml:space="preserve"> assault and battery,</w:t>
      </w:r>
      <w:r w:rsidR="00ED40AA" w:rsidRPr="003129E1">
        <w:t xml:space="preserve"> </w:t>
      </w:r>
      <w:r w:rsidR="00073012" w:rsidRPr="003129E1">
        <w:t>infliction of bodily harm,</w:t>
      </w:r>
      <w:r w:rsidR="00B65393" w:rsidRPr="003129E1">
        <w:t xml:space="preserve"> abuse of </w:t>
      </w:r>
      <w:r w:rsidR="00073012" w:rsidRPr="003129E1">
        <w:t>office,</w:t>
      </w:r>
      <w:r w:rsidR="00ED40AA" w:rsidRPr="003129E1">
        <w:t xml:space="preserve"> and threats</w:t>
      </w:r>
      <w:r w:rsidRPr="003129E1">
        <w:t>.</w:t>
      </w:r>
    </w:p>
    <w:bookmarkStart w:id="5" w:name="SIT"/>
    <w:p w:rsidR="009E7C75" w:rsidRPr="003129E1" w:rsidRDefault="00CD3F26"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18</w:t>
      </w:r>
      <w:r w:rsidRPr="003129E1">
        <w:fldChar w:fldCharType="end"/>
      </w:r>
      <w:bookmarkEnd w:id="5"/>
      <w:r w:rsidRPr="003129E1">
        <w:t>.  An investigation into the applicant</w:t>
      </w:r>
      <w:r w:rsidR="003129E1" w:rsidRPr="003129E1">
        <w:t>’</w:t>
      </w:r>
      <w:r w:rsidRPr="003129E1">
        <w:t>s allegations was initiated. Seven people identified by the applicant as witnesses (</w:t>
      </w:r>
      <w:r w:rsidRPr="003129E1">
        <w:rPr>
          <w:i/>
        </w:rPr>
        <w:t>persone informate sui fatti</w:t>
      </w:r>
      <w:r w:rsidRPr="003129E1">
        <w:t xml:space="preserve">) were interviewed. Two were people who stated they had seen one of the officers dragging the applicant out of her vehicle. One was the owner of a bar </w:t>
      </w:r>
      <w:r w:rsidR="00D050BA" w:rsidRPr="003129E1">
        <w:t xml:space="preserve">where </w:t>
      </w:r>
      <w:r w:rsidRPr="003129E1">
        <w:t>the applicant had gone in order to call her former spouse once she had left the hospital on 2 April 2013. Another was the applicant</w:t>
      </w:r>
      <w:r w:rsidR="003129E1" w:rsidRPr="003129E1">
        <w:t>’</w:t>
      </w:r>
      <w:r w:rsidRPr="003129E1">
        <w:t xml:space="preserve">s former spouse, who stated that her alcohol intake was limited to consumption during meals. He further stated that </w:t>
      </w:r>
      <w:r w:rsidR="00D050BA" w:rsidRPr="003129E1">
        <w:t>because of</w:t>
      </w:r>
      <w:r w:rsidRPr="003129E1">
        <w:t xml:space="preserve"> a traumatic event in </w:t>
      </w:r>
      <w:r w:rsidR="00D050BA" w:rsidRPr="003129E1">
        <w:t xml:space="preserve">her </w:t>
      </w:r>
      <w:r w:rsidRPr="003129E1">
        <w:t xml:space="preserve">life </w:t>
      </w:r>
      <w:r w:rsidR="00D050BA" w:rsidRPr="003129E1">
        <w:t xml:space="preserve">the applicant </w:t>
      </w:r>
      <w:r w:rsidRPr="003129E1">
        <w:t>became agitated, trembled and had trouble expressing herself</w:t>
      </w:r>
      <w:r w:rsidR="00D050BA" w:rsidRPr="003129E1">
        <w:t xml:space="preserve"> when subjected to stress</w:t>
      </w:r>
      <w:r w:rsidRPr="003129E1">
        <w:t>. The other three were colleagues</w:t>
      </w:r>
      <w:r w:rsidR="00D050BA" w:rsidRPr="003129E1">
        <w:t>,</w:t>
      </w:r>
      <w:r w:rsidRPr="003129E1">
        <w:t xml:space="preserve"> who stated that the applicant had not appeared to be intoxicated when she had left her office on 2 April 2013. The police officers who had allegedly been involved in the ill-treatment were not interviewed, and neither was the applicant.</w:t>
      </w:r>
    </w:p>
    <w:bookmarkStart w:id="6" w:name="PM"/>
    <w:p w:rsidR="009E7C75" w:rsidRPr="003129E1" w:rsidRDefault="00CD3F26"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19</w:t>
      </w:r>
      <w:r w:rsidRPr="003129E1">
        <w:fldChar w:fldCharType="end"/>
      </w:r>
      <w:bookmarkEnd w:id="6"/>
      <w:r w:rsidRPr="003129E1">
        <w:t xml:space="preserve">.  On 17 January 2014 the </w:t>
      </w:r>
      <w:r w:rsidR="0036453D" w:rsidRPr="003129E1">
        <w:t>p</w:t>
      </w:r>
      <w:r w:rsidRPr="003129E1">
        <w:t xml:space="preserve">ublic </w:t>
      </w:r>
      <w:r w:rsidR="0036453D" w:rsidRPr="003129E1">
        <w:t>p</w:t>
      </w:r>
      <w:r w:rsidRPr="003129E1">
        <w:t>rosecutor requested that the proceedings be discontinued. The basis of the request was that “the allegations in the criminal complaint are not confirmed by the statements made by the witnesses identified by the victim”.</w:t>
      </w:r>
    </w:p>
    <w:bookmarkStart w:id="7" w:name="Objection"/>
    <w:p w:rsidR="009E7C75" w:rsidRPr="003129E1" w:rsidRDefault="00CE4AC3"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20</w:t>
      </w:r>
      <w:r w:rsidRPr="003129E1">
        <w:rPr>
          <w:noProof/>
        </w:rPr>
        <w:fldChar w:fldCharType="end"/>
      </w:r>
      <w:bookmarkEnd w:id="7"/>
      <w:r w:rsidR="00CD3F26" w:rsidRPr="003129E1">
        <w:t xml:space="preserve">.  On 27 February 2014 the applicant lodged an objection against the </w:t>
      </w:r>
      <w:r w:rsidR="0036453D" w:rsidRPr="003129E1">
        <w:t>p</w:t>
      </w:r>
      <w:r w:rsidR="00CD3F26" w:rsidRPr="003129E1">
        <w:t>rosecutor</w:t>
      </w:r>
      <w:r w:rsidR="003129E1" w:rsidRPr="003129E1">
        <w:t>’</w:t>
      </w:r>
      <w:r w:rsidR="00CD3F26" w:rsidRPr="003129E1">
        <w:t xml:space="preserve">s request to discontinue the proceedings. </w:t>
      </w:r>
      <w:r w:rsidR="00D050BA" w:rsidRPr="003129E1">
        <w:t xml:space="preserve">She </w:t>
      </w:r>
      <w:r w:rsidR="003A72B8" w:rsidRPr="003129E1">
        <w:t xml:space="preserve">complained about the lack of reasoning </w:t>
      </w:r>
      <w:r w:rsidR="00D050BA" w:rsidRPr="003129E1">
        <w:t xml:space="preserve">in </w:t>
      </w:r>
      <w:r w:rsidR="003A72B8" w:rsidRPr="003129E1">
        <w:t xml:space="preserve">the </w:t>
      </w:r>
      <w:r w:rsidR="0036453D" w:rsidRPr="003129E1">
        <w:t>p</w:t>
      </w:r>
      <w:r w:rsidR="003A72B8" w:rsidRPr="003129E1">
        <w:t>rosecutor</w:t>
      </w:r>
      <w:r w:rsidR="003129E1" w:rsidRPr="003129E1">
        <w:t>’</w:t>
      </w:r>
      <w:r w:rsidR="003A72B8" w:rsidRPr="003129E1">
        <w:t>s request</w:t>
      </w:r>
      <w:r w:rsidR="00D050BA" w:rsidRPr="003129E1">
        <w:t xml:space="preserve"> and </w:t>
      </w:r>
      <w:r w:rsidR="00CD3F26" w:rsidRPr="003129E1">
        <w:t>alleged</w:t>
      </w:r>
      <w:r w:rsidR="002F7E12" w:rsidRPr="003129E1">
        <w:t xml:space="preserve"> </w:t>
      </w:r>
      <w:r w:rsidR="00CD3F26" w:rsidRPr="003129E1">
        <w:t xml:space="preserve">that the investigation had not been thorough. In that connection, she </w:t>
      </w:r>
      <w:r w:rsidR="00107EB7" w:rsidRPr="003129E1">
        <w:t>complained</w:t>
      </w:r>
      <w:r w:rsidR="00CD3F26" w:rsidRPr="003129E1">
        <w:t xml:space="preserve"> </w:t>
      </w:r>
      <w:r w:rsidR="003A72B8" w:rsidRPr="003129E1">
        <w:t xml:space="preserve">about the “total absence” </w:t>
      </w:r>
      <w:r w:rsidR="002F7E12" w:rsidRPr="003129E1">
        <w:t xml:space="preserve">of </w:t>
      </w:r>
      <w:r w:rsidR="00CD3F26" w:rsidRPr="003129E1">
        <w:t>investigati</w:t>
      </w:r>
      <w:r w:rsidR="00D050BA" w:rsidRPr="003129E1">
        <w:t>ve</w:t>
      </w:r>
      <w:r w:rsidR="002F7E12" w:rsidRPr="003129E1">
        <w:t xml:space="preserve"> measures</w:t>
      </w:r>
      <w:r w:rsidR="00CD3F26" w:rsidRPr="003129E1">
        <w:t xml:space="preserve"> with respect to the events that had occurred </w:t>
      </w:r>
      <w:r w:rsidR="00D050BA" w:rsidRPr="003129E1">
        <w:t>at</w:t>
      </w:r>
      <w:r w:rsidR="00CD3F26" w:rsidRPr="003129E1">
        <w:t xml:space="preserve"> the </w:t>
      </w:r>
      <w:r w:rsidR="0036453D" w:rsidRPr="003129E1">
        <w:t>m</w:t>
      </w:r>
      <w:r w:rsidR="00CD3F26" w:rsidRPr="003129E1">
        <w:t xml:space="preserve">unicipal </w:t>
      </w:r>
      <w:r w:rsidR="0036453D" w:rsidRPr="003129E1">
        <w:t>p</w:t>
      </w:r>
      <w:r w:rsidR="00CD3F26" w:rsidRPr="003129E1">
        <w:t xml:space="preserve">olice </w:t>
      </w:r>
      <w:r w:rsidR="0036453D" w:rsidRPr="003129E1">
        <w:t>s</w:t>
      </w:r>
      <w:r w:rsidR="00CD3F26" w:rsidRPr="003129E1">
        <w:t>tation</w:t>
      </w:r>
      <w:r w:rsidR="002F7E12" w:rsidRPr="003129E1">
        <w:t xml:space="preserve"> and requested that </w:t>
      </w:r>
      <w:r w:rsidR="00D050BA" w:rsidRPr="003129E1">
        <w:t xml:space="preserve">the investigating judge order </w:t>
      </w:r>
      <w:r w:rsidR="002F7E12" w:rsidRPr="003129E1">
        <w:t>such measures without delay.</w:t>
      </w:r>
      <w:r w:rsidR="00564C7C" w:rsidRPr="003129E1">
        <w:t xml:space="preserve"> </w:t>
      </w:r>
      <w:r w:rsidR="00CD3F26" w:rsidRPr="003129E1">
        <w:t xml:space="preserve">Moreover, the applicant complained that she had not been </w:t>
      </w:r>
      <w:r w:rsidR="00D050BA" w:rsidRPr="003129E1">
        <w:t xml:space="preserve">questioned </w:t>
      </w:r>
      <w:r w:rsidR="00107EB7" w:rsidRPr="003129E1">
        <w:t>and requested that she be interviewed</w:t>
      </w:r>
      <w:r w:rsidR="00D050BA" w:rsidRPr="003129E1">
        <w:t xml:space="preserve"> immediately</w:t>
      </w:r>
      <w:r w:rsidR="00107EB7" w:rsidRPr="003129E1">
        <w:t>.</w:t>
      </w:r>
      <w:r w:rsidR="00CD3F26" w:rsidRPr="003129E1">
        <w:t xml:space="preserve"> She </w:t>
      </w:r>
      <w:r w:rsidR="00D050BA" w:rsidRPr="003129E1">
        <w:t xml:space="preserve">also </w:t>
      </w:r>
      <w:r w:rsidR="00CD3F26" w:rsidRPr="003129E1">
        <w:t xml:space="preserve">requested that </w:t>
      </w:r>
      <w:r w:rsidR="00D050BA" w:rsidRPr="003129E1">
        <w:t xml:space="preserve">officials interview </w:t>
      </w:r>
      <w:r w:rsidR="00CD3F26" w:rsidRPr="003129E1">
        <w:t xml:space="preserve">the person who had taken her to the hospital when she had left the police station </w:t>
      </w:r>
      <w:r w:rsidR="00D050BA" w:rsidRPr="003129E1">
        <w:t xml:space="preserve">and </w:t>
      </w:r>
      <w:r w:rsidR="00F00F06" w:rsidRPr="003129E1">
        <w:t>other individuals</w:t>
      </w:r>
      <w:r w:rsidR="00CD3F26" w:rsidRPr="003129E1">
        <w:t>. She also challenged the credibility of the official police reports, as they were in stark contrast with her account of the impugned events.</w:t>
      </w:r>
    </w:p>
    <w:bookmarkStart w:id="8" w:name="Hearing"/>
    <w:p w:rsidR="00CD3F26" w:rsidRPr="003129E1" w:rsidRDefault="00CE4AC3"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21</w:t>
      </w:r>
      <w:r w:rsidRPr="003129E1">
        <w:rPr>
          <w:noProof/>
        </w:rPr>
        <w:fldChar w:fldCharType="end"/>
      </w:r>
      <w:bookmarkEnd w:id="8"/>
      <w:r w:rsidR="00CD3F26" w:rsidRPr="003129E1">
        <w:t>.  At a hearing on 22 September 2014 the applicant</w:t>
      </w:r>
      <w:r w:rsidR="003129E1" w:rsidRPr="003129E1">
        <w:t>’</w:t>
      </w:r>
      <w:r w:rsidR="00CD3F26" w:rsidRPr="003129E1">
        <w:t>s lawyer repeated the complaints and requests contained in the objection against the prosecutor</w:t>
      </w:r>
      <w:r w:rsidR="003129E1" w:rsidRPr="003129E1">
        <w:t>’</w:t>
      </w:r>
      <w:r w:rsidR="00CD3F26" w:rsidRPr="003129E1">
        <w:t xml:space="preserve">s request to discontinue the proceedings and </w:t>
      </w:r>
      <w:r w:rsidR="00C61714" w:rsidRPr="003129E1">
        <w:t>reiterated</w:t>
      </w:r>
      <w:r w:rsidR="00CD3F26" w:rsidRPr="003129E1">
        <w:t xml:space="preserve">, in particular, the request to conduct an investigation into the events that had occurred at the </w:t>
      </w:r>
      <w:r w:rsidR="0036453D" w:rsidRPr="003129E1">
        <w:t>m</w:t>
      </w:r>
      <w:r w:rsidR="00CD3F26" w:rsidRPr="003129E1">
        <w:t xml:space="preserve">unicipal </w:t>
      </w:r>
      <w:r w:rsidR="0036453D" w:rsidRPr="003129E1">
        <w:t>p</w:t>
      </w:r>
      <w:r w:rsidR="00CD3F26" w:rsidRPr="003129E1">
        <w:t xml:space="preserve">olice </w:t>
      </w:r>
      <w:r w:rsidR="0036453D" w:rsidRPr="003129E1">
        <w:t>s</w:t>
      </w:r>
      <w:r w:rsidR="00CD3F26" w:rsidRPr="003129E1">
        <w:t>tation.</w:t>
      </w:r>
    </w:p>
    <w:bookmarkStart w:id="9" w:name="Archiviazione"/>
    <w:p w:rsidR="00CD3F26" w:rsidRPr="003129E1" w:rsidRDefault="0049549A"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22</w:t>
      </w:r>
      <w:r w:rsidRPr="003129E1">
        <w:rPr>
          <w:noProof/>
        </w:rPr>
        <w:fldChar w:fldCharType="end"/>
      </w:r>
      <w:bookmarkEnd w:id="9"/>
      <w:r w:rsidR="00CD3F26" w:rsidRPr="003129E1">
        <w:t xml:space="preserve">.  By an order of 3 October 2014, served on the applicant on 27 October 2014, </w:t>
      </w:r>
      <w:r w:rsidR="00DE298E" w:rsidRPr="003129E1">
        <w:t xml:space="preserve">the Benevento District Court </w:t>
      </w:r>
      <w:r w:rsidR="00CD3F26" w:rsidRPr="003129E1">
        <w:t xml:space="preserve">preliminary </w:t>
      </w:r>
      <w:r w:rsidR="00F96A6D" w:rsidRPr="003129E1">
        <w:t>investigations</w:t>
      </w:r>
      <w:r w:rsidR="00CD3F26" w:rsidRPr="003129E1">
        <w:t xml:space="preserve"> judge (</w:t>
      </w:r>
      <w:r w:rsidR="00CD3F26" w:rsidRPr="003129E1">
        <w:rPr>
          <w:i/>
        </w:rPr>
        <w:t xml:space="preserve">giudice </w:t>
      </w:r>
      <w:r w:rsidR="00F96A6D" w:rsidRPr="003129E1">
        <w:rPr>
          <w:i/>
        </w:rPr>
        <w:t>per le</w:t>
      </w:r>
      <w:r w:rsidR="00253309" w:rsidRPr="003129E1">
        <w:rPr>
          <w:i/>
        </w:rPr>
        <w:t xml:space="preserve"> indagini preliminari</w:t>
      </w:r>
      <w:r w:rsidR="00CD3F26" w:rsidRPr="003129E1">
        <w:t>) decided to discontinue the proceedings. The order stated that the evidence gathered during the preliminary investigation had not been sufficient to warrant indict</w:t>
      </w:r>
      <w:r w:rsidR="00D050BA" w:rsidRPr="003129E1">
        <w:t xml:space="preserve">ing </w:t>
      </w:r>
      <w:r w:rsidR="00CD3F26" w:rsidRPr="003129E1">
        <w:t xml:space="preserve">the officers. It </w:t>
      </w:r>
      <w:r w:rsidR="00DE298E" w:rsidRPr="003129E1">
        <w:t xml:space="preserve">stated </w:t>
      </w:r>
      <w:r w:rsidR="00CD3F26" w:rsidRPr="003129E1">
        <w:t>that the victim</w:t>
      </w:r>
      <w:r w:rsidR="003129E1" w:rsidRPr="003129E1">
        <w:t>’</w:t>
      </w:r>
      <w:r w:rsidR="00CD3F26" w:rsidRPr="003129E1">
        <w:t xml:space="preserve">s allegations had not been corroborated by </w:t>
      </w:r>
      <w:r w:rsidR="00CD3F26" w:rsidRPr="003129E1">
        <w:lastRenderedPageBreak/>
        <w:t>evidence and that further investigati</w:t>
      </w:r>
      <w:r w:rsidR="00D050BA" w:rsidRPr="003129E1">
        <w:t>ve</w:t>
      </w:r>
      <w:r w:rsidR="00FC4D5A" w:rsidRPr="003129E1">
        <w:t xml:space="preserve"> measures</w:t>
      </w:r>
      <w:r w:rsidR="00CD3F26" w:rsidRPr="003129E1">
        <w:t xml:space="preserve">, as requested by the victim, would </w:t>
      </w:r>
      <w:r w:rsidR="007421E1" w:rsidRPr="003129E1">
        <w:t xml:space="preserve">have </w:t>
      </w:r>
      <w:r w:rsidR="00CD3F26" w:rsidRPr="003129E1">
        <w:t>“</w:t>
      </w:r>
      <w:r w:rsidR="007421E1" w:rsidRPr="003129E1">
        <w:t>no influence whatsoever</w:t>
      </w:r>
      <w:r w:rsidR="00CD3F26" w:rsidRPr="003129E1">
        <w:t>”</w:t>
      </w:r>
      <w:r w:rsidR="002B0489" w:rsidRPr="003129E1">
        <w:t>.</w:t>
      </w:r>
    </w:p>
    <w:p w:rsidR="00CD3F26" w:rsidRPr="003129E1" w:rsidRDefault="002855F4" w:rsidP="003129E1">
      <w:pPr>
        <w:pStyle w:val="ECHRHeading2"/>
      </w:pPr>
      <w:r w:rsidRPr="003129E1">
        <w:t>C</w:t>
      </w:r>
      <w:r w:rsidR="00CD3F26" w:rsidRPr="003129E1">
        <w:t>.  Criminal proceedings against the applicant</w:t>
      </w:r>
    </w:p>
    <w:p w:rsidR="009E7C75" w:rsidRPr="003129E1" w:rsidRDefault="00CD3F26"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23</w:t>
      </w:r>
      <w:r w:rsidRPr="003129E1">
        <w:fldChar w:fldCharType="end"/>
      </w:r>
      <w:r w:rsidRPr="003129E1">
        <w:t>.  </w:t>
      </w:r>
      <w:r w:rsidR="0071530C" w:rsidRPr="003129E1">
        <w:t xml:space="preserve">On 25 October 2013 </w:t>
      </w:r>
      <w:r w:rsidRPr="003129E1">
        <w:t xml:space="preserve">the applicant was charged with a number of offences in connection with the events of 2 April 2013, including resisting a police officer, insulting a public official, and driving under the influence of alcohol. The applicant was also charged with causing bodily harm to </w:t>
      </w:r>
      <w:r w:rsidR="000066B9" w:rsidRPr="003129E1">
        <w:t>a</w:t>
      </w:r>
      <w:r w:rsidRPr="003129E1">
        <w:t xml:space="preserve"> police officer.</w:t>
      </w:r>
    </w:p>
    <w:p w:rsidR="00CD3F26" w:rsidRPr="003129E1" w:rsidRDefault="00CD3F26"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24</w:t>
      </w:r>
      <w:r w:rsidRPr="003129E1">
        <w:fldChar w:fldCharType="end"/>
      </w:r>
      <w:r w:rsidRPr="003129E1">
        <w:t xml:space="preserve">.  On an unspecified date, the </w:t>
      </w:r>
      <w:r w:rsidR="007421E1" w:rsidRPr="003129E1">
        <w:t>p</w:t>
      </w:r>
      <w:r w:rsidRPr="003129E1">
        <w:t xml:space="preserve">ublic </w:t>
      </w:r>
      <w:r w:rsidR="007421E1" w:rsidRPr="003129E1">
        <w:t>p</w:t>
      </w:r>
      <w:r w:rsidRPr="003129E1">
        <w:t xml:space="preserve">rosecutor and the applicant </w:t>
      </w:r>
      <w:r w:rsidRPr="003129E1">
        <w:rPr>
          <w:lang w:val="en"/>
        </w:rPr>
        <w:t>reached a plea agreement with respect to the offence of bodily harm and requested that the judge proceed with the imposition of a sentence (</w:t>
      </w:r>
      <w:r w:rsidRPr="003129E1">
        <w:rPr>
          <w:i/>
        </w:rPr>
        <w:t>applicazione della pena su richiesta delle parti</w:t>
      </w:r>
      <w:r w:rsidRPr="003129E1">
        <w:t>).</w:t>
      </w:r>
    </w:p>
    <w:p w:rsidR="00171300" w:rsidRPr="003129E1" w:rsidRDefault="00CD3F26"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25</w:t>
      </w:r>
      <w:r w:rsidRPr="003129E1">
        <w:fldChar w:fldCharType="end"/>
      </w:r>
      <w:r w:rsidRPr="003129E1">
        <w:t>.  On 21 November 2014 the Benevento preliminary hearing</w:t>
      </w:r>
      <w:r w:rsidR="007421E1" w:rsidRPr="003129E1">
        <w:t>s</w:t>
      </w:r>
      <w:r w:rsidRPr="003129E1">
        <w:t xml:space="preserve"> judge took note of the plea agreement and </w:t>
      </w:r>
      <w:r w:rsidR="007421E1" w:rsidRPr="003129E1">
        <w:t xml:space="preserve">gave </w:t>
      </w:r>
      <w:r w:rsidRPr="003129E1">
        <w:t xml:space="preserve">the applicant </w:t>
      </w:r>
      <w:r w:rsidR="00DE298E" w:rsidRPr="003129E1">
        <w:t xml:space="preserve">a suspended sentence of </w:t>
      </w:r>
      <w:r w:rsidRPr="003129E1">
        <w:t>twenty-eight days</w:t>
      </w:r>
      <w:r w:rsidR="003129E1" w:rsidRPr="003129E1">
        <w:t>’</w:t>
      </w:r>
      <w:r w:rsidRPr="003129E1">
        <w:t xml:space="preserve"> imprisonment</w:t>
      </w:r>
      <w:r w:rsidR="00B97D24" w:rsidRPr="003129E1">
        <w:t>.</w:t>
      </w:r>
      <w:r w:rsidRPr="003129E1">
        <w:t xml:space="preserve"> On the same da</w:t>
      </w:r>
      <w:r w:rsidR="007421E1" w:rsidRPr="003129E1">
        <w:t>y</w:t>
      </w:r>
      <w:r w:rsidRPr="003129E1">
        <w:t xml:space="preserve">, the preliminary hearings judge suspended the proceedings against the applicant in connection with the charges of resisting a police officer, insulting a public official and driving under the influence of alcohol. The applicant was placed on probation with </w:t>
      </w:r>
      <w:r w:rsidR="00DE298E" w:rsidRPr="003129E1">
        <w:t>a</w:t>
      </w:r>
      <w:r w:rsidRPr="003129E1">
        <w:t xml:space="preserve"> requirement that she perform community service.</w:t>
      </w:r>
    </w:p>
    <w:p w:rsidR="00171300" w:rsidRPr="003129E1" w:rsidRDefault="002855F4" w:rsidP="003129E1">
      <w:pPr>
        <w:pStyle w:val="ECHRHeading2"/>
      </w:pPr>
      <w:r w:rsidRPr="003129E1">
        <w:t>D</w:t>
      </w:r>
      <w:r w:rsidR="00171300" w:rsidRPr="003129E1">
        <w:t xml:space="preserve">.  Medical </w:t>
      </w:r>
      <w:r w:rsidR="003A738E" w:rsidRPr="003129E1">
        <w:t>documentation</w:t>
      </w:r>
    </w:p>
    <w:p w:rsidR="00171300" w:rsidRPr="003129E1" w:rsidRDefault="002855F4" w:rsidP="003129E1">
      <w:pPr>
        <w:pStyle w:val="ECHRHeading3"/>
      </w:pPr>
      <w:r w:rsidRPr="003129E1">
        <w:t>1.</w:t>
      </w:r>
      <w:r w:rsidR="008840CB" w:rsidRPr="003129E1">
        <w:t>  </w:t>
      </w:r>
      <w:r w:rsidR="005C086B" w:rsidRPr="003129E1">
        <w:t>Medical reports in connection with the events of 2 April 2013</w:t>
      </w:r>
    </w:p>
    <w:bookmarkStart w:id="10" w:name="Start_Medical"/>
    <w:p w:rsidR="00171300" w:rsidRPr="003129E1" w:rsidRDefault="00171300"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26</w:t>
      </w:r>
      <w:r w:rsidRPr="003129E1">
        <w:fldChar w:fldCharType="end"/>
      </w:r>
      <w:bookmarkEnd w:id="10"/>
      <w:r w:rsidRPr="003129E1">
        <w:t xml:space="preserve">.  On 2 April 2013, the applicant went to the emergency department of a local hospital. </w:t>
      </w:r>
      <w:r w:rsidRPr="003129E1" w:rsidDel="00DE298E">
        <w:t xml:space="preserve">At 6.42 p.m. </w:t>
      </w:r>
      <w:r w:rsidRPr="003129E1">
        <w:t>she was examined by a radiologist, who established that her right thumb was fractured.</w:t>
      </w:r>
    </w:p>
    <w:p w:rsidR="00171300" w:rsidRPr="003129E1" w:rsidRDefault="0098166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27</w:t>
      </w:r>
      <w:r w:rsidRPr="003129E1">
        <w:rPr>
          <w:noProof/>
        </w:rPr>
        <w:fldChar w:fldCharType="end"/>
      </w:r>
      <w:r w:rsidR="00171300" w:rsidRPr="003129E1">
        <w:t xml:space="preserve">.  On 3 April 2013 the applicant returned to the emergency department. According to the medical report, the applicant arrived at the hospital in an agitated state, complaining about pain in several parts of her body. She was examined by a doctor who noted the presence of a splint on her right hand to treat a fracture. The doctor further noted the presence of bruising resulting from </w:t>
      </w:r>
      <w:r w:rsidR="00171300" w:rsidRPr="003129E1">
        <w:rPr>
          <w:bCs/>
        </w:rPr>
        <w:t>traumatic</w:t>
      </w:r>
      <w:r w:rsidR="00171300" w:rsidRPr="003129E1">
        <w:t xml:space="preserve"> injury (</w:t>
      </w:r>
      <w:r w:rsidR="00171300" w:rsidRPr="003129E1">
        <w:rPr>
          <w:i/>
        </w:rPr>
        <w:t>trauma contusivo con ecchimosi</w:t>
      </w:r>
      <w:r w:rsidR="00171300" w:rsidRPr="003129E1">
        <w:t>) to the right thigh, right shoulder and left wrist.</w:t>
      </w:r>
    </w:p>
    <w:bookmarkStart w:id="11" w:name="End_Medical"/>
    <w:p w:rsidR="00171300" w:rsidRPr="003129E1" w:rsidRDefault="000D0A5B"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28</w:t>
      </w:r>
      <w:r w:rsidRPr="003129E1">
        <w:rPr>
          <w:noProof/>
        </w:rPr>
        <w:fldChar w:fldCharType="end"/>
      </w:r>
      <w:bookmarkEnd w:id="11"/>
      <w:r w:rsidR="00171300" w:rsidRPr="003129E1">
        <w:t>.  On 4 April 2013 the applicant went to a different hospital. She was examined by an orthopaedist</w:t>
      </w:r>
      <w:r w:rsidR="00DE298E" w:rsidRPr="003129E1">
        <w:t>,</w:t>
      </w:r>
      <w:r w:rsidR="00171300" w:rsidRPr="003129E1">
        <w:t xml:space="preserve"> who confirmed the fracture of the thumb and the presence of bruises on her left thigh and on her back. The doctor recommended surgery to treat the fracture.</w:t>
      </w:r>
    </w:p>
    <w:p w:rsidR="00A04089" w:rsidRPr="003129E1" w:rsidRDefault="002855F4" w:rsidP="003129E1">
      <w:pPr>
        <w:pStyle w:val="ECHRHeading3"/>
      </w:pPr>
      <w:r w:rsidRPr="003129E1">
        <w:lastRenderedPageBreak/>
        <w:t>2.</w:t>
      </w:r>
      <w:r w:rsidR="008840CB" w:rsidRPr="003129E1">
        <w:t>  </w:t>
      </w:r>
      <w:r w:rsidR="00A04089" w:rsidRPr="003129E1">
        <w:t xml:space="preserve">Expert </w:t>
      </w:r>
      <w:r w:rsidR="005A62A7" w:rsidRPr="003129E1">
        <w:t xml:space="preserve">psychological </w:t>
      </w:r>
      <w:r w:rsidR="00A04089" w:rsidRPr="003129E1">
        <w:t>report submitted by the applicant in the course of the criminal proceedings against her</w:t>
      </w:r>
      <w:r w:rsidR="00FE491F" w:rsidRPr="003129E1">
        <w:t xml:space="preserve"> (extracts)</w:t>
      </w:r>
    </w:p>
    <w:bookmarkStart w:id="12" w:name="Psych_report"/>
    <w:p w:rsidR="009E7C75" w:rsidRPr="003129E1" w:rsidRDefault="00DB478E"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29</w:t>
      </w:r>
      <w:r w:rsidRPr="003129E1">
        <w:fldChar w:fldCharType="end"/>
      </w:r>
      <w:bookmarkEnd w:id="12"/>
      <w:r w:rsidRPr="003129E1">
        <w:t>.  </w:t>
      </w:r>
      <w:r w:rsidR="00DE298E" w:rsidRPr="003129E1">
        <w:t xml:space="preserve">Owing </w:t>
      </w:r>
      <w:r w:rsidR="00F2446C" w:rsidRPr="003129E1">
        <w:t xml:space="preserve">to a traumatic event in </w:t>
      </w:r>
      <w:r w:rsidR="00DE298E" w:rsidRPr="003129E1">
        <w:t xml:space="preserve">her </w:t>
      </w:r>
      <w:r w:rsidR="00F2446C" w:rsidRPr="003129E1">
        <w:t>life, the applicant suffers from chronic post-traumatic stress disorder</w:t>
      </w:r>
      <w:r w:rsidR="00DE298E" w:rsidRPr="003129E1">
        <w:t>,</w:t>
      </w:r>
      <w:r w:rsidR="00F2446C" w:rsidRPr="003129E1">
        <w:t xml:space="preserve"> which </w:t>
      </w:r>
      <w:r w:rsidR="00DE298E" w:rsidRPr="003129E1">
        <w:t xml:space="preserve">has </w:t>
      </w:r>
      <w:r w:rsidR="00F2446C" w:rsidRPr="003129E1">
        <w:t xml:space="preserve">evolved into </w:t>
      </w:r>
      <w:r w:rsidR="00DE298E" w:rsidRPr="003129E1">
        <w:t xml:space="preserve">a </w:t>
      </w:r>
      <w:r w:rsidR="00F2446C" w:rsidRPr="003129E1">
        <w:rPr>
          <w:bCs/>
        </w:rPr>
        <w:t>major depressive</w:t>
      </w:r>
      <w:r w:rsidR="00F2446C" w:rsidRPr="003129E1">
        <w:t xml:space="preserve"> disorder. </w:t>
      </w:r>
      <w:r w:rsidR="00756EC0" w:rsidRPr="003129E1">
        <w:t xml:space="preserve">She also suffers from a disorder </w:t>
      </w:r>
      <w:r w:rsidR="007421E1" w:rsidRPr="003129E1">
        <w:t xml:space="preserve">which is </w:t>
      </w:r>
      <w:r w:rsidR="00756EC0" w:rsidRPr="003129E1">
        <w:t xml:space="preserve">characterised by mood swings which are exacerbated in times of particular stress, </w:t>
      </w:r>
      <w:r w:rsidR="007421E1" w:rsidRPr="003129E1">
        <w:t xml:space="preserve">by the </w:t>
      </w:r>
      <w:r w:rsidR="00756EC0" w:rsidRPr="003129E1">
        <w:t>consumption</w:t>
      </w:r>
      <w:r w:rsidR="00DE298E" w:rsidRPr="003129E1">
        <w:t xml:space="preserve"> of alcohol</w:t>
      </w:r>
      <w:r w:rsidR="00756EC0" w:rsidRPr="003129E1">
        <w:t xml:space="preserve"> or sleep deprivation.</w:t>
      </w:r>
      <w:r w:rsidR="00052B77" w:rsidRPr="003129E1">
        <w:t xml:space="preserve"> The disorder </w:t>
      </w:r>
      <w:r w:rsidR="00DE298E" w:rsidRPr="003129E1">
        <w:t xml:space="preserve">in question includes peaks of </w:t>
      </w:r>
      <w:r w:rsidR="00052B77" w:rsidRPr="003129E1">
        <w:rPr>
          <w:bCs/>
        </w:rPr>
        <w:t xml:space="preserve">manic </w:t>
      </w:r>
      <w:r w:rsidR="00DE298E" w:rsidRPr="003129E1">
        <w:rPr>
          <w:bCs/>
        </w:rPr>
        <w:t xml:space="preserve">behaviour when </w:t>
      </w:r>
      <w:r w:rsidR="00052B77" w:rsidRPr="003129E1">
        <w:rPr>
          <w:bCs/>
        </w:rPr>
        <w:t xml:space="preserve">the applicant </w:t>
      </w:r>
      <w:r w:rsidR="00671F63" w:rsidRPr="003129E1">
        <w:rPr>
          <w:bCs/>
        </w:rPr>
        <w:t xml:space="preserve">loses contact with reality </w:t>
      </w:r>
      <w:r w:rsidR="00CE1548" w:rsidRPr="003129E1">
        <w:rPr>
          <w:bCs/>
        </w:rPr>
        <w:t>and experiences a sense of impending threat to her own safety and that of those around her.</w:t>
      </w:r>
      <w:r w:rsidR="00052B77" w:rsidRPr="003129E1">
        <w:t xml:space="preserve"> </w:t>
      </w:r>
      <w:r w:rsidR="00DE298E" w:rsidRPr="003129E1">
        <w:t>T</w:t>
      </w:r>
      <w:r w:rsidR="000275EA" w:rsidRPr="003129E1">
        <w:t xml:space="preserve">he applicant was prescribed </w:t>
      </w:r>
      <w:r w:rsidR="000275EA" w:rsidRPr="003129E1">
        <w:rPr>
          <w:bCs/>
        </w:rPr>
        <w:t>drugs</w:t>
      </w:r>
      <w:r w:rsidR="000275EA" w:rsidRPr="003129E1">
        <w:t xml:space="preserve"> for </w:t>
      </w:r>
      <w:r w:rsidR="000275EA" w:rsidRPr="003129E1">
        <w:rPr>
          <w:bCs/>
        </w:rPr>
        <w:t>insomnia</w:t>
      </w:r>
      <w:r w:rsidR="00DE298E" w:rsidRPr="003129E1">
        <w:t xml:space="preserve"> in February 2013</w:t>
      </w:r>
      <w:r w:rsidR="000275EA" w:rsidRPr="003129E1">
        <w:rPr>
          <w:bCs/>
        </w:rPr>
        <w:t>.</w:t>
      </w:r>
      <w:r w:rsidR="004A3175" w:rsidRPr="003129E1">
        <w:rPr>
          <w:bCs/>
        </w:rPr>
        <w:t xml:space="preserve"> </w:t>
      </w:r>
      <w:r w:rsidR="00DE298E" w:rsidRPr="003129E1">
        <w:t>C</w:t>
      </w:r>
      <w:r w:rsidR="000275EA" w:rsidRPr="003129E1">
        <w:t>ombin</w:t>
      </w:r>
      <w:r w:rsidR="00DE298E" w:rsidRPr="003129E1">
        <w:t xml:space="preserve">ing </w:t>
      </w:r>
      <w:r w:rsidR="000275EA" w:rsidRPr="003129E1">
        <w:t xml:space="preserve">the drugs with even moderate </w:t>
      </w:r>
      <w:r w:rsidR="00DE298E" w:rsidRPr="003129E1">
        <w:t xml:space="preserve">amounts </w:t>
      </w:r>
      <w:r w:rsidR="000275EA" w:rsidRPr="003129E1">
        <w:t>of alcohol</w:t>
      </w:r>
      <w:r w:rsidR="00A06D61" w:rsidRPr="003129E1">
        <w:t xml:space="preserve"> </w:t>
      </w:r>
      <w:r w:rsidR="008A2F9B" w:rsidRPr="003129E1">
        <w:t>c</w:t>
      </w:r>
      <w:r w:rsidR="00DE298E" w:rsidRPr="003129E1">
        <w:t xml:space="preserve">an </w:t>
      </w:r>
      <w:r w:rsidR="007421E1" w:rsidRPr="003129E1">
        <w:t xml:space="preserve">have </w:t>
      </w:r>
      <w:r w:rsidR="008A2F9B" w:rsidRPr="003129E1">
        <w:t>the same consequences as excessive alcohol consumption.</w:t>
      </w:r>
    </w:p>
    <w:p w:rsidR="00014566" w:rsidRPr="003129E1" w:rsidRDefault="00014566" w:rsidP="003129E1">
      <w:pPr>
        <w:pStyle w:val="ECHRTitle1"/>
      </w:pPr>
      <w:r w:rsidRPr="003129E1">
        <w:t>THE LAW</w:t>
      </w:r>
    </w:p>
    <w:p w:rsidR="00014566" w:rsidRPr="003129E1" w:rsidRDefault="002855F4" w:rsidP="003129E1">
      <w:pPr>
        <w:pStyle w:val="ECHRHeading1"/>
      </w:pPr>
      <w:r w:rsidRPr="003129E1">
        <w:t>I.  </w:t>
      </w:r>
      <w:r w:rsidR="00014566" w:rsidRPr="003129E1">
        <w:t xml:space="preserve">ALLEGED VIOLATION OF ARTICLE </w:t>
      </w:r>
      <w:r w:rsidR="00C127B9" w:rsidRPr="003129E1">
        <w:t>3</w:t>
      </w:r>
      <w:r w:rsidR="00014566" w:rsidRPr="003129E1">
        <w:t xml:space="preserve"> OF THE CONVENTION</w:t>
      </w:r>
    </w:p>
    <w:p w:rsidR="00014566" w:rsidRPr="003129E1" w:rsidRDefault="006C318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30</w:t>
      </w:r>
      <w:r w:rsidRPr="003129E1">
        <w:fldChar w:fldCharType="end"/>
      </w:r>
      <w:r w:rsidR="00014566" w:rsidRPr="003129E1">
        <w:t>.  </w:t>
      </w:r>
      <w:r w:rsidR="00316B54" w:rsidRPr="003129E1">
        <w:t xml:space="preserve">The applicant complained that she </w:t>
      </w:r>
      <w:r w:rsidR="00DE298E" w:rsidRPr="003129E1">
        <w:t xml:space="preserve">had been </w:t>
      </w:r>
      <w:r w:rsidR="00316B54" w:rsidRPr="003129E1">
        <w:t>ill</w:t>
      </w:r>
      <w:r w:rsidR="00316B54" w:rsidRPr="003129E1">
        <w:noBreakHyphen/>
        <w:t xml:space="preserve">treated by the police and that the investigation into her allegations </w:t>
      </w:r>
      <w:r w:rsidR="00DE298E" w:rsidRPr="003129E1">
        <w:t xml:space="preserve">had been </w:t>
      </w:r>
      <w:r w:rsidR="00316B54" w:rsidRPr="003129E1">
        <w:t>neither thorough nor effective. She relied on Article 3 of the Convention, which reads as follows:</w:t>
      </w:r>
    </w:p>
    <w:p w:rsidR="00014566" w:rsidRPr="003129E1" w:rsidRDefault="00316B54" w:rsidP="003129E1">
      <w:pPr>
        <w:pStyle w:val="ECHRParaQuote"/>
      </w:pPr>
      <w:r w:rsidRPr="003129E1">
        <w:t>“No one shall be subjected to torture or to inhuman or degrading treatment or punishment.”</w:t>
      </w:r>
    </w:p>
    <w:p w:rsidR="00014566" w:rsidRPr="003129E1" w:rsidRDefault="00014566" w:rsidP="003129E1">
      <w:pPr>
        <w:pStyle w:val="ECHRHeading2"/>
      </w:pPr>
      <w:r w:rsidRPr="003129E1">
        <w:t>A.  Admissibility</w:t>
      </w:r>
    </w:p>
    <w:p w:rsidR="00014566" w:rsidRPr="003129E1" w:rsidRDefault="006C318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31</w:t>
      </w:r>
      <w:r w:rsidRPr="003129E1">
        <w:fldChar w:fldCharType="end"/>
      </w:r>
      <w:r w:rsidR="00014566" w:rsidRPr="003129E1">
        <w:t>.  The Court notes that the application is not manifestly ill-founded within the meaning of Article 35 § 3 (a) of the Convention. It further notes that it is not inadmissible on any other grounds. It must therefore be declared admissible.</w:t>
      </w:r>
    </w:p>
    <w:p w:rsidR="00014566" w:rsidRPr="003129E1" w:rsidRDefault="00014566" w:rsidP="003129E1">
      <w:pPr>
        <w:pStyle w:val="ECHRHeading2"/>
      </w:pPr>
      <w:r w:rsidRPr="003129E1">
        <w:t>B.  Merits</w:t>
      </w:r>
    </w:p>
    <w:p w:rsidR="009E7C75" w:rsidRPr="003129E1" w:rsidRDefault="00F838F5" w:rsidP="003129E1">
      <w:pPr>
        <w:pStyle w:val="ECHRHeading3"/>
      </w:pPr>
      <w:r w:rsidRPr="003129E1">
        <w:t>1</w:t>
      </w:r>
      <w:r w:rsidR="00814FA2" w:rsidRPr="003129E1">
        <w:t>.</w:t>
      </w:r>
      <w:r w:rsidR="00922864" w:rsidRPr="003129E1">
        <w:t>  </w:t>
      </w:r>
      <w:r w:rsidRPr="003129E1">
        <w:t xml:space="preserve">General </w:t>
      </w:r>
      <w:r w:rsidR="00C629F3" w:rsidRPr="003129E1">
        <w:t>p</w:t>
      </w:r>
      <w:r w:rsidRPr="003129E1">
        <w:t>rinciples</w:t>
      </w:r>
    </w:p>
    <w:p w:rsidR="00E53A8E" w:rsidRPr="003129E1" w:rsidRDefault="0098166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32</w:t>
      </w:r>
      <w:r w:rsidRPr="003129E1">
        <w:rPr>
          <w:noProof/>
        </w:rPr>
        <w:fldChar w:fldCharType="end"/>
      </w:r>
      <w:r w:rsidR="00E53A8E" w:rsidRPr="003129E1">
        <w:t>.  </w:t>
      </w:r>
      <w:r w:rsidR="001930BE" w:rsidRPr="003129E1">
        <w:t>In cases involving the substantive aspect of</w:t>
      </w:r>
      <w:r w:rsidR="0051703C" w:rsidRPr="003129E1">
        <w:t xml:space="preserve"> Article 3 concerning, in particular,</w:t>
      </w:r>
      <w:r w:rsidR="001930BE" w:rsidRPr="003129E1">
        <w:t xml:space="preserve"> allegations of ill-treatment</w:t>
      </w:r>
      <w:r w:rsidR="000E66DC" w:rsidRPr="003129E1">
        <w:t xml:space="preserve"> by </w:t>
      </w:r>
      <w:r w:rsidR="005518A6" w:rsidRPr="003129E1">
        <w:t>S</w:t>
      </w:r>
      <w:r w:rsidR="000E66DC" w:rsidRPr="003129E1">
        <w:t xml:space="preserve">tate agents, the relevant general principles were articulated </w:t>
      </w:r>
      <w:r w:rsidR="00BE2500" w:rsidRPr="003129E1">
        <w:t>by the Grand Chamber</w:t>
      </w:r>
      <w:r w:rsidR="004B60C8" w:rsidRPr="003129E1">
        <w:t xml:space="preserve"> </w:t>
      </w:r>
      <w:r w:rsidR="00BE2500" w:rsidRPr="003129E1">
        <w:t xml:space="preserve">in </w:t>
      </w:r>
      <w:r w:rsidR="00BE2500" w:rsidRPr="003129E1">
        <w:rPr>
          <w:i/>
        </w:rPr>
        <w:t xml:space="preserve">Bouyid v. Belgium </w:t>
      </w:r>
      <w:r w:rsidR="005518A6" w:rsidRPr="003129E1">
        <w:t>(</w:t>
      </w:r>
      <w:r w:rsidR="00BE2500" w:rsidRPr="003129E1">
        <w:t>[GC], no. 23380/09</w:t>
      </w:r>
      <w:r w:rsidR="00754CEA" w:rsidRPr="003129E1">
        <w:t>, § 81-90, ECHR 2015</w:t>
      </w:r>
      <w:r w:rsidR="005518A6" w:rsidRPr="003129E1">
        <w:t>)</w:t>
      </w:r>
      <w:r w:rsidR="00754CEA" w:rsidRPr="003129E1">
        <w:t>.</w:t>
      </w:r>
    </w:p>
    <w:p w:rsidR="00754CEA" w:rsidRPr="003129E1" w:rsidRDefault="00754CEA"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33</w:t>
      </w:r>
      <w:r w:rsidRPr="003129E1">
        <w:fldChar w:fldCharType="end"/>
      </w:r>
      <w:r w:rsidRPr="003129E1">
        <w:t>.  The Court reiterates</w:t>
      </w:r>
      <w:r w:rsidR="002F25CD" w:rsidRPr="003129E1">
        <w:t>, in particular,</w:t>
      </w:r>
      <w:r w:rsidRPr="003129E1">
        <w:t xml:space="preserve"> that in respect of a person who is deprived of his liberty, or, more ge</w:t>
      </w:r>
      <w:r w:rsidR="00A563D9" w:rsidRPr="003129E1">
        <w:t>nerally, is</w:t>
      </w:r>
      <w:r w:rsidR="003129E1" w:rsidRPr="003129E1">
        <w:t xml:space="preserve"> confronted with law </w:t>
      </w:r>
      <w:r w:rsidR="003129E1" w:rsidRPr="003129E1">
        <w:noBreakHyphen/>
        <w:t xml:space="preserve"> </w:t>
      </w:r>
      <w:r w:rsidRPr="003129E1">
        <w:t xml:space="preserve">enforcement officers, any recourse to physical force which has not </w:t>
      </w:r>
      <w:r w:rsidRPr="003129E1">
        <w:lastRenderedPageBreak/>
        <w:t>been made strictly necessary by his own conduct diminishes human dignity and is an infringement of the ri</w:t>
      </w:r>
      <w:r w:rsidR="002F25CD" w:rsidRPr="003129E1">
        <w:t>ght set forth in Article 3 (</w:t>
      </w:r>
      <w:r w:rsidR="005518A6" w:rsidRPr="003129E1">
        <w:t xml:space="preserve">ibid., </w:t>
      </w:r>
      <w:r w:rsidRPr="003129E1">
        <w:t>§ 88).</w:t>
      </w:r>
    </w:p>
    <w:p w:rsidR="00872D67" w:rsidRPr="003129E1" w:rsidRDefault="0098166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34</w:t>
      </w:r>
      <w:r w:rsidRPr="003129E1">
        <w:rPr>
          <w:noProof/>
        </w:rPr>
        <w:fldChar w:fldCharType="end"/>
      </w:r>
      <w:r w:rsidR="00872D67" w:rsidRPr="003129E1">
        <w:t>.  Allegations of ill-treatment contrary to Article 3 must be supported by appropriate evidence. To assess this evidence, the Court adopts the standard of proof “beyond reasonable doubt” but adds that such proof may follow from the coexistence of sufficiently strong, clear and concordant inferences or of similar unrebutted presumptions of fact (ibid., § 82).</w:t>
      </w:r>
    </w:p>
    <w:bookmarkStart w:id="13" w:name="Control"/>
    <w:p w:rsidR="002D222E" w:rsidRPr="003129E1" w:rsidRDefault="009C375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35</w:t>
      </w:r>
      <w:r w:rsidRPr="003129E1">
        <w:rPr>
          <w:noProof/>
        </w:rPr>
        <w:fldChar w:fldCharType="end"/>
      </w:r>
      <w:bookmarkEnd w:id="13"/>
      <w:r w:rsidR="002F25CD" w:rsidRPr="003129E1">
        <w:t>.  </w:t>
      </w:r>
      <w:r w:rsidR="00872D67" w:rsidRPr="003129E1">
        <w:t xml:space="preserve">On this latter point the Court has explained that </w:t>
      </w:r>
      <w:r w:rsidR="002D222E" w:rsidRPr="003129E1">
        <w:t>where the events in issue lie wholly, or in large part, within the exclusive knowledge of the authorities, as in the case of persons within their control in custody, strong presumptions of fact will arise in respect of injuries occurring during such detention. The burden of proof is then on the Government to provide a satisfactory and convincing explanation by producing evidence establishing facts which cast doubt on the account of events given by the</w:t>
      </w:r>
      <w:r w:rsidR="001977B0" w:rsidRPr="003129E1">
        <w:t xml:space="preserve"> applicant</w:t>
      </w:r>
      <w:r w:rsidR="002D222E" w:rsidRPr="003129E1">
        <w:t>. In the absence of such explanation, the Court can draw inferences which may be unfavourable for the Government. That is justified by the fact that persons in custody are in a vulnerable position and the authorities are under a duty to protect them</w:t>
      </w:r>
      <w:r w:rsidR="008C611A" w:rsidRPr="003129E1">
        <w:t>.</w:t>
      </w:r>
      <w:r w:rsidR="00732EBC" w:rsidRPr="003129E1">
        <w:t xml:space="preserve"> </w:t>
      </w:r>
      <w:r w:rsidR="00C431BB" w:rsidRPr="003129E1">
        <w:t xml:space="preserve">In </w:t>
      </w:r>
      <w:r w:rsidR="00C431BB" w:rsidRPr="003129E1">
        <w:rPr>
          <w:i/>
        </w:rPr>
        <w:t>Bouyid</w:t>
      </w:r>
      <w:r w:rsidR="00C431BB" w:rsidRPr="003129E1">
        <w:t xml:space="preserve"> the Court found that the same principle held true in the context of an identity check in a police station or a mere interview on such premises (</w:t>
      </w:r>
      <w:r w:rsidR="005518A6" w:rsidRPr="003129E1">
        <w:t xml:space="preserve">ibid., </w:t>
      </w:r>
      <w:r w:rsidR="00C431BB" w:rsidRPr="003129E1">
        <w:t>§ 84).</w:t>
      </w:r>
    </w:p>
    <w:p w:rsidR="009E7C75" w:rsidRPr="003129E1" w:rsidRDefault="000D7DCC"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36</w:t>
      </w:r>
      <w:r w:rsidRPr="003129E1">
        <w:fldChar w:fldCharType="end"/>
      </w:r>
      <w:r w:rsidRPr="003129E1">
        <w:t>.  The Court also pointed out in</w:t>
      </w:r>
      <w:r w:rsidR="00AC57B3" w:rsidRPr="003129E1">
        <w:t xml:space="preserve"> </w:t>
      </w:r>
      <w:r w:rsidR="00AC57B3" w:rsidRPr="003129E1">
        <w:rPr>
          <w:i/>
        </w:rPr>
        <w:t xml:space="preserve">El-Masri v. the former Yugoslav Republic of Macedonia </w:t>
      </w:r>
      <w:r w:rsidR="00AC57B3" w:rsidRPr="003129E1">
        <w:t>[GC] (no. 39630/09, § 155,</w:t>
      </w:r>
      <w:r w:rsidR="00AC57B3" w:rsidRPr="003129E1">
        <w:rPr>
          <w:snapToGrid w:val="0"/>
        </w:rPr>
        <w:t xml:space="preserve"> ECHR 2012</w:t>
      </w:r>
      <w:r w:rsidRPr="003129E1">
        <w:t xml:space="preserve">) that although it recognised that it must be cautious in taking on the role of a first-instance tribunal of fact where this was not made unavoidable by the circumstances of a particular case (see </w:t>
      </w:r>
      <w:r w:rsidRPr="003129E1">
        <w:rPr>
          <w:i/>
        </w:rPr>
        <w:t>McKerr v. the United Kingdom</w:t>
      </w:r>
      <w:r w:rsidRPr="003129E1">
        <w:t xml:space="preserve"> (dec.), no. 28883/95, 4 April 2000), it had to apply a “particularly thorough scrutiny” where allegations were made under Article 3 of the Convention (see, </w:t>
      </w:r>
      <w:r w:rsidRPr="003129E1">
        <w:rPr>
          <w:i/>
        </w:rPr>
        <w:t>mutatis mutandis</w:t>
      </w:r>
      <w:r w:rsidRPr="003129E1">
        <w:t xml:space="preserve">, </w:t>
      </w:r>
      <w:r w:rsidRPr="003129E1">
        <w:rPr>
          <w:i/>
        </w:rPr>
        <w:t>Ribitsch v. Austria</w:t>
      </w:r>
      <w:r w:rsidRPr="003129E1">
        <w:t xml:space="preserve">, 4 December 1995, § 32, Series A no. 336, and </w:t>
      </w:r>
      <w:r w:rsidRPr="003129E1">
        <w:rPr>
          <w:i/>
        </w:rPr>
        <w:t>Georgiy Bykov v. Russia</w:t>
      </w:r>
      <w:r w:rsidRPr="003129E1">
        <w:t>, no. 24271/03, § 51, 14</w:t>
      </w:r>
      <w:r w:rsidR="00525865" w:rsidRPr="003129E1">
        <w:t> </w:t>
      </w:r>
      <w:r w:rsidRPr="003129E1">
        <w:t xml:space="preserve">October 2010), even if certain domestic proceedings and investigations had already taken place (see </w:t>
      </w:r>
      <w:r w:rsidRPr="003129E1">
        <w:rPr>
          <w:i/>
        </w:rPr>
        <w:t>Cobzaru v. Romania</w:t>
      </w:r>
      <w:r w:rsidRPr="003129E1">
        <w:t>, no. 48254/99, § 65, 26</w:t>
      </w:r>
      <w:r w:rsidR="00525865" w:rsidRPr="003129E1">
        <w:t> </w:t>
      </w:r>
      <w:r w:rsidRPr="003129E1">
        <w:t>July 2007).</w:t>
      </w:r>
    </w:p>
    <w:p w:rsidR="009E7C75" w:rsidRPr="003129E1" w:rsidRDefault="0098166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37</w:t>
      </w:r>
      <w:r w:rsidRPr="003129E1">
        <w:rPr>
          <w:noProof/>
        </w:rPr>
        <w:fldChar w:fldCharType="end"/>
      </w:r>
      <w:r w:rsidR="00095EE2" w:rsidRPr="003129E1">
        <w:t>.  In cases involving the investigation of allegations of ill-treatment, the general principles which apply in determining whether such an investigation was effective for the purposes of Article 3 were</w:t>
      </w:r>
      <w:r w:rsidR="00D151CD" w:rsidRPr="003129E1">
        <w:t xml:space="preserve"> </w:t>
      </w:r>
      <w:r w:rsidR="00095EE2" w:rsidRPr="003129E1">
        <w:t xml:space="preserve">restated by the Grand Chamber, </w:t>
      </w:r>
      <w:r w:rsidR="00095EE2" w:rsidRPr="003129E1">
        <w:rPr>
          <w:i/>
        </w:rPr>
        <w:t>inter alia¸</w:t>
      </w:r>
      <w:r w:rsidR="00095EE2" w:rsidRPr="003129E1">
        <w:t xml:space="preserve"> in </w:t>
      </w:r>
      <w:r w:rsidR="00095EE2" w:rsidRPr="003129E1">
        <w:rPr>
          <w:i/>
        </w:rPr>
        <w:t xml:space="preserve">Mocanu and Others v. Romania </w:t>
      </w:r>
      <w:r w:rsidR="005518A6" w:rsidRPr="003129E1">
        <w:t>(</w:t>
      </w:r>
      <w:r w:rsidR="00095EE2" w:rsidRPr="003129E1">
        <w:t>[GC], nos.</w:t>
      </w:r>
      <w:r w:rsidR="007E3CDD" w:rsidRPr="003129E1">
        <w:t> </w:t>
      </w:r>
      <w:r w:rsidR="00095EE2" w:rsidRPr="003129E1">
        <w:t>10865/09, 45886/07 and 32431/08, § 316-326 ECHR 2014 (extracts)</w:t>
      </w:r>
      <w:r w:rsidR="005518A6" w:rsidRPr="003129E1">
        <w:t>)</w:t>
      </w:r>
      <w:r w:rsidR="00095EE2" w:rsidRPr="003129E1">
        <w:t>.</w:t>
      </w:r>
    </w:p>
    <w:p w:rsidR="00C94FBD" w:rsidRPr="003129E1" w:rsidRDefault="00C94FBD"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38</w:t>
      </w:r>
      <w:r w:rsidRPr="003129E1">
        <w:fldChar w:fldCharType="end"/>
      </w:r>
      <w:r w:rsidRPr="003129E1">
        <w:t>.  In particular,</w:t>
      </w:r>
      <w:r w:rsidR="00732B25" w:rsidRPr="003129E1">
        <w:t xml:space="preserve"> </w:t>
      </w:r>
      <w:r w:rsidR="008301CE" w:rsidRPr="003129E1">
        <w:t xml:space="preserve">any investigation of serious allegations of ill-treatment must be thorough. </w:t>
      </w:r>
      <w:r w:rsidRPr="003129E1">
        <w:t xml:space="preserve">That means that the authorities must always make a serious attempt to find out what happened and should not rely on hasty or ill-founded conclusions to close their investigation or to use as the basis of their decisions (see </w:t>
      </w:r>
      <w:r w:rsidRPr="003129E1">
        <w:rPr>
          <w:i/>
          <w:iCs/>
        </w:rPr>
        <w:t>Assenov and Others</w:t>
      </w:r>
      <w:r w:rsidR="005518A6" w:rsidRPr="003129E1">
        <w:rPr>
          <w:i/>
        </w:rPr>
        <w:t xml:space="preserve"> v. Bulgaria</w:t>
      </w:r>
      <w:r w:rsidR="005518A6" w:rsidRPr="003129E1">
        <w:t>, 28 October 1998, §</w:t>
      </w:r>
      <w:r w:rsidR="00525865" w:rsidRPr="003129E1">
        <w:t> </w:t>
      </w:r>
      <w:r w:rsidR="005518A6" w:rsidRPr="003129E1">
        <w:t xml:space="preserve">103, </w:t>
      </w:r>
      <w:r w:rsidR="005518A6" w:rsidRPr="003129E1">
        <w:rPr>
          <w:i/>
        </w:rPr>
        <w:t>Reports of Judgments and Decisions</w:t>
      </w:r>
      <w:r w:rsidR="005518A6" w:rsidRPr="003129E1">
        <w:t xml:space="preserve"> 1998</w:t>
      </w:r>
      <w:r w:rsidR="005518A6" w:rsidRPr="003129E1">
        <w:noBreakHyphen/>
        <w:t>VIII</w:t>
      </w:r>
      <w:r w:rsidRPr="003129E1">
        <w:t xml:space="preserve">, and </w:t>
      </w:r>
      <w:r w:rsidR="00824E9C" w:rsidRPr="003129E1">
        <w:rPr>
          <w:i/>
        </w:rPr>
        <w:t>Batı and Others v. </w:t>
      </w:r>
      <w:r w:rsidRPr="003129E1">
        <w:rPr>
          <w:i/>
        </w:rPr>
        <w:t>Turkey</w:t>
      </w:r>
      <w:r w:rsidRPr="003129E1">
        <w:t>, nos. 33097/96 and 57834/00, § 136, ECHR 2004</w:t>
      </w:r>
      <w:r w:rsidRPr="003129E1">
        <w:noBreakHyphen/>
        <w:t xml:space="preserve">IV). They must </w:t>
      </w:r>
      <w:r w:rsidRPr="003129E1">
        <w:lastRenderedPageBreak/>
        <w:t xml:space="preserve">take all reasonable steps available to them to secure the evidence concerning the incident, including, </w:t>
      </w:r>
      <w:r w:rsidRPr="003129E1">
        <w:rPr>
          <w:i/>
          <w:iCs/>
        </w:rPr>
        <w:t>inter alia</w:t>
      </w:r>
      <w:r w:rsidRPr="003129E1">
        <w:rPr>
          <w:iCs/>
        </w:rPr>
        <w:t>,</w:t>
      </w:r>
      <w:r w:rsidRPr="003129E1">
        <w:t xml:space="preserve"> eyewitness testimony and forensic evidence (see </w:t>
      </w:r>
      <w:r w:rsidRPr="003129E1">
        <w:rPr>
          <w:i/>
          <w:iCs/>
        </w:rPr>
        <w:t>Tanrıkulu v. Turkey</w:t>
      </w:r>
      <w:r w:rsidRPr="003129E1">
        <w:t xml:space="preserve"> </w:t>
      </w:r>
      <w:r w:rsidR="003129E1" w:rsidRPr="003129E1">
        <w:t>[GC], no. 23763/94, § 104, ECHR </w:t>
      </w:r>
      <w:r w:rsidRPr="003129E1">
        <w:t>1999</w:t>
      </w:r>
      <w:r w:rsidRPr="003129E1">
        <w:noBreakHyphen/>
        <w:t xml:space="preserve">IV, and </w:t>
      </w:r>
      <w:r w:rsidRPr="003129E1">
        <w:rPr>
          <w:i/>
          <w:iCs/>
        </w:rPr>
        <w:t>Gül v. Turkey</w:t>
      </w:r>
      <w:r w:rsidRPr="003129E1">
        <w:t xml:space="preserve">, no. 22676/93, § 89, 14 December 2000). Any deficiency in the investigation which undermines its ability to establish the cause of injuries or the identity of the persons responsible will risk falling foul of this standard (see </w:t>
      </w:r>
      <w:r w:rsidRPr="003129E1">
        <w:rPr>
          <w:i/>
        </w:rPr>
        <w:t>Boicenco v. Moldova</w:t>
      </w:r>
      <w:r w:rsidR="003129E1" w:rsidRPr="003129E1">
        <w:t>, no. 41088/05, § </w:t>
      </w:r>
      <w:r w:rsidRPr="003129E1">
        <w:t>123, 11 July 2006).</w:t>
      </w:r>
    </w:p>
    <w:p w:rsidR="009C3023" w:rsidRPr="003129E1" w:rsidRDefault="002855F4" w:rsidP="003129E1">
      <w:pPr>
        <w:pStyle w:val="ECHRHeading3"/>
      </w:pPr>
      <w:r w:rsidRPr="003129E1">
        <w:t>2.  </w:t>
      </w:r>
      <w:r w:rsidR="00354EAD" w:rsidRPr="003129E1">
        <w:t>Application to the present case</w:t>
      </w:r>
    </w:p>
    <w:bookmarkStart w:id="14" w:name="Start_Merits"/>
    <w:p w:rsidR="009E7C75" w:rsidRPr="003129E1" w:rsidRDefault="004F46AA" w:rsidP="003129E1">
      <w:pPr>
        <w:pStyle w:val="ECHRPara"/>
        <w:rPr>
          <w:rFonts w:eastAsia="Times New Roman"/>
        </w:rPr>
      </w:pPr>
      <w:r w:rsidRPr="003129E1">
        <w:fldChar w:fldCharType="begin"/>
      </w:r>
      <w:r w:rsidRPr="003129E1">
        <w:instrText xml:space="preserve"> SEQ level0 \*arabic </w:instrText>
      </w:r>
      <w:r w:rsidRPr="003129E1">
        <w:fldChar w:fldCharType="separate"/>
      </w:r>
      <w:r w:rsidR="003129E1" w:rsidRPr="003129E1">
        <w:rPr>
          <w:noProof/>
        </w:rPr>
        <w:t>39</w:t>
      </w:r>
      <w:r w:rsidRPr="003129E1">
        <w:fldChar w:fldCharType="end"/>
      </w:r>
      <w:bookmarkEnd w:id="14"/>
      <w:r w:rsidRPr="003129E1">
        <w:t>.  </w:t>
      </w:r>
      <w:r w:rsidR="003D253E" w:rsidRPr="003129E1">
        <w:rPr>
          <w:rFonts w:eastAsia="Times New Roman"/>
        </w:rPr>
        <w:t xml:space="preserve">The Court notes at the outset that the parties agree that the police used force against the applicant and that </w:t>
      </w:r>
      <w:r w:rsidR="00E73842" w:rsidRPr="003129E1">
        <w:rPr>
          <w:rFonts w:eastAsia="Times New Roman"/>
        </w:rPr>
        <w:t>she</w:t>
      </w:r>
      <w:r w:rsidR="003D253E" w:rsidRPr="003129E1">
        <w:rPr>
          <w:rFonts w:eastAsia="Times New Roman"/>
        </w:rPr>
        <w:t xml:space="preserve"> sustained certain injuries as a result</w:t>
      </w:r>
      <w:r w:rsidR="00F233C9" w:rsidRPr="003129E1">
        <w:rPr>
          <w:rFonts w:eastAsia="Times New Roman"/>
        </w:rPr>
        <w:t xml:space="preserve">, namely </w:t>
      </w:r>
      <w:r w:rsidR="00EA36BB" w:rsidRPr="003129E1">
        <w:rPr>
          <w:rFonts w:eastAsia="Times New Roman"/>
        </w:rPr>
        <w:t>contusions</w:t>
      </w:r>
      <w:r w:rsidR="000A0426" w:rsidRPr="003129E1">
        <w:rPr>
          <w:rFonts w:eastAsia="Times New Roman"/>
        </w:rPr>
        <w:t xml:space="preserve"> and a fractured finger</w:t>
      </w:r>
      <w:r w:rsidR="00F233C9" w:rsidRPr="003129E1">
        <w:rPr>
          <w:rFonts w:eastAsia="Times New Roman"/>
        </w:rPr>
        <w:t xml:space="preserve">. </w:t>
      </w:r>
      <w:r w:rsidR="001A4030" w:rsidRPr="003129E1">
        <w:rPr>
          <w:rFonts w:eastAsia="Times New Roman"/>
        </w:rPr>
        <w:t>The Court also note</w:t>
      </w:r>
      <w:r w:rsidR="00DC6DC2" w:rsidRPr="003129E1">
        <w:rPr>
          <w:rFonts w:eastAsia="Times New Roman"/>
        </w:rPr>
        <w:t>s</w:t>
      </w:r>
      <w:r w:rsidR="001A4030" w:rsidRPr="003129E1">
        <w:rPr>
          <w:rFonts w:eastAsia="Times New Roman"/>
        </w:rPr>
        <w:t xml:space="preserve"> that the </w:t>
      </w:r>
      <w:r w:rsidR="00AE6045" w:rsidRPr="003129E1">
        <w:rPr>
          <w:rFonts w:eastAsia="Times New Roman"/>
        </w:rPr>
        <w:t>presence of certain injuries is supported by medical evidence (</w:t>
      </w:r>
      <w:r w:rsidR="00350BDF" w:rsidRPr="003129E1">
        <w:rPr>
          <w:rFonts w:eastAsia="Times New Roman"/>
        </w:rPr>
        <w:t xml:space="preserve">see paragraphs </w:t>
      </w:r>
      <w:r w:rsidR="00350BDF" w:rsidRPr="003129E1">
        <w:rPr>
          <w:rFonts w:eastAsia="Times New Roman"/>
        </w:rPr>
        <w:fldChar w:fldCharType="begin"/>
      </w:r>
      <w:r w:rsidR="00350BDF" w:rsidRPr="003129E1">
        <w:rPr>
          <w:rFonts w:eastAsia="Times New Roman"/>
        </w:rPr>
        <w:instrText xml:space="preserve"> REF Start_Medical \h </w:instrText>
      </w:r>
      <w:r w:rsidR="00350BDF" w:rsidRPr="003129E1">
        <w:rPr>
          <w:rFonts w:eastAsia="Times New Roman"/>
        </w:rPr>
      </w:r>
      <w:r w:rsidR="00350BDF" w:rsidRPr="003129E1">
        <w:rPr>
          <w:rFonts w:eastAsia="Times New Roman"/>
        </w:rPr>
        <w:fldChar w:fldCharType="separate"/>
      </w:r>
      <w:r w:rsidR="003129E1" w:rsidRPr="003129E1">
        <w:rPr>
          <w:noProof/>
        </w:rPr>
        <w:t>26</w:t>
      </w:r>
      <w:r w:rsidR="00350BDF" w:rsidRPr="003129E1">
        <w:rPr>
          <w:rFonts w:eastAsia="Times New Roman"/>
        </w:rPr>
        <w:fldChar w:fldCharType="end"/>
      </w:r>
      <w:r w:rsidR="00350BDF" w:rsidRPr="003129E1">
        <w:rPr>
          <w:rFonts w:eastAsia="Times New Roman"/>
        </w:rPr>
        <w:t xml:space="preserve"> - </w:t>
      </w:r>
      <w:r w:rsidR="00350BDF" w:rsidRPr="003129E1">
        <w:rPr>
          <w:rFonts w:eastAsia="Times New Roman"/>
        </w:rPr>
        <w:fldChar w:fldCharType="begin"/>
      </w:r>
      <w:r w:rsidR="00350BDF" w:rsidRPr="003129E1">
        <w:rPr>
          <w:rFonts w:eastAsia="Times New Roman"/>
        </w:rPr>
        <w:instrText xml:space="preserve"> REF End_Medical \h </w:instrText>
      </w:r>
      <w:r w:rsidR="00350BDF" w:rsidRPr="003129E1">
        <w:rPr>
          <w:rFonts w:eastAsia="Times New Roman"/>
        </w:rPr>
      </w:r>
      <w:r w:rsidR="00350BDF" w:rsidRPr="003129E1">
        <w:rPr>
          <w:rFonts w:eastAsia="Times New Roman"/>
        </w:rPr>
        <w:fldChar w:fldCharType="separate"/>
      </w:r>
      <w:r w:rsidR="003129E1" w:rsidRPr="003129E1">
        <w:rPr>
          <w:noProof/>
        </w:rPr>
        <w:t>28</w:t>
      </w:r>
      <w:r w:rsidR="00350BDF" w:rsidRPr="003129E1">
        <w:rPr>
          <w:rFonts w:eastAsia="Times New Roman"/>
        </w:rPr>
        <w:fldChar w:fldCharType="end"/>
      </w:r>
      <w:r w:rsidR="00350BDF" w:rsidRPr="003129E1">
        <w:rPr>
          <w:rFonts w:eastAsia="Times New Roman"/>
        </w:rPr>
        <w:t xml:space="preserve"> above</w:t>
      </w:r>
      <w:r w:rsidR="00AE6045" w:rsidRPr="003129E1">
        <w:rPr>
          <w:rFonts w:eastAsia="Times New Roman"/>
        </w:rPr>
        <w:t>)</w:t>
      </w:r>
      <w:r w:rsidR="001A4030" w:rsidRPr="003129E1">
        <w:rPr>
          <w:rFonts w:eastAsia="Times New Roman"/>
        </w:rPr>
        <w:t xml:space="preserve">. </w:t>
      </w:r>
      <w:r w:rsidR="001327A8" w:rsidRPr="003129E1">
        <w:rPr>
          <w:rFonts w:eastAsia="Times New Roman"/>
        </w:rPr>
        <w:t>The applicant</w:t>
      </w:r>
      <w:r w:rsidR="00C40535" w:rsidRPr="003129E1">
        <w:rPr>
          <w:rFonts w:eastAsia="Times New Roman"/>
        </w:rPr>
        <w:t xml:space="preserve"> contended</w:t>
      </w:r>
      <w:r w:rsidR="001327A8" w:rsidRPr="003129E1">
        <w:rPr>
          <w:rFonts w:eastAsia="Times New Roman"/>
        </w:rPr>
        <w:t xml:space="preserve"> that the finger </w:t>
      </w:r>
      <w:r w:rsidR="00C40535" w:rsidRPr="003129E1">
        <w:rPr>
          <w:rFonts w:eastAsia="Times New Roman"/>
        </w:rPr>
        <w:t>had been</w:t>
      </w:r>
      <w:r w:rsidR="001327A8" w:rsidRPr="003129E1">
        <w:rPr>
          <w:rFonts w:eastAsia="Times New Roman"/>
        </w:rPr>
        <w:t xml:space="preserve"> fractured </w:t>
      </w:r>
      <w:r w:rsidR="005518A6" w:rsidRPr="003129E1">
        <w:rPr>
          <w:rFonts w:eastAsia="Times New Roman"/>
        </w:rPr>
        <w:t xml:space="preserve">while she was </w:t>
      </w:r>
      <w:r w:rsidR="001327A8" w:rsidRPr="003129E1">
        <w:rPr>
          <w:rFonts w:eastAsia="Times New Roman"/>
        </w:rPr>
        <w:t xml:space="preserve">at the </w:t>
      </w:r>
      <w:r w:rsidR="007421E1" w:rsidRPr="003129E1">
        <w:rPr>
          <w:rFonts w:eastAsia="Times New Roman"/>
        </w:rPr>
        <w:t>m</w:t>
      </w:r>
      <w:r w:rsidR="001327A8" w:rsidRPr="003129E1">
        <w:rPr>
          <w:rFonts w:eastAsia="Times New Roman"/>
        </w:rPr>
        <w:t xml:space="preserve">unicipal </w:t>
      </w:r>
      <w:r w:rsidR="007421E1" w:rsidRPr="003129E1">
        <w:rPr>
          <w:rFonts w:eastAsia="Times New Roman"/>
        </w:rPr>
        <w:t>p</w:t>
      </w:r>
      <w:r w:rsidR="001327A8" w:rsidRPr="003129E1">
        <w:rPr>
          <w:rFonts w:eastAsia="Times New Roman"/>
        </w:rPr>
        <w:t xml:space="preserve">olice </w:t>
      </w:r>
      <w:r w:rsidR="007421E1" w:rsidRPr="003129E1">
        <w:rPr>
          <w:rFonts w:eastAsia="Times New Roman"/>
        </w:rPr>
        <w:t>s</w:t>
      </w:r>
      <w:r w:rsidR="001327A8" w:rsidRPr="003129E1">
        <w:rPr>
          <w:rFonts w:eastAsia="Times New Roman"/>
        </w:rPr>
        <w:t>tation</w:t>
      </w:r>
      <w:r w:rsidR="008B6711" w:rsidRPr="003129E1">
        <w:rPr>
          <w:rFonts w:eastAsia="Times New Roman"/>
        </w:rPr>
        <w:t>.</w:t>
      </w:r>
    </w:p>
    <w:p w:rsidR="009E7C75" w:rsidRPr="003129E1" w:rsidRDefault="00416F50" w:rsidP="003129E1">
      <w:pPr>
        <w:pStyle w:val="ECHRPara"/>
        <w:rPr>
          <w:rFonts w:eastAsia="Times New Roman"/>
        </w:rPr>
      </w:pPr>
      <w:r w:rsidRPr="003129E1">
        <w:rPr>
          <w:rFonts w:eastAsia="Times New Roman"/>
        </w:rPr>
        <w:fldChar w:fldCharType="begin"/>
      </w:r>
      <w:r w:rsidRPr="003129E1">
        <w:rPr>
          <w:rFonts w:eastAsia="Times New Roman"/>
        </w:rPr>
        <w:instrText xml:space="preserve"> SEQ level0 \*arabic </w:instrText>
      </w:r>
      <w:r w:rsidRPr="003129E1">
        <w:rPr>
          <w:rFonts w:eastAsia="Times New Roman"/>
        </w:rPr>
        <w:fldChar w:fldCharType="separate"/>
      </w:r>
      <w:r w:rsidR="003129E1" w:rsidRPr="003129E1">
        <w:rPr>
          <w:rFonts w:eastAsia="Times New Roman"/>
          <w:noProof/>
        </w:rPr>
        <w:t>40</w:t>
      </w:r>
      <w:r w:rsidRPr="003129E1">
        <w:rPr>
          <w:rFonts w:eastAsia="Times New Roman"/>
        </w:rPr>
        <w:fldChar w:fldCharType="end"/>
      </w:r>
      <w:r w:rsidRPr="003129E1">
        <w:rPr>
          <w:rFonts w:eastAsia="Times New Roman"/>
        </w:rPr>
        <w:t>.  </w:t>
      </w:r>
      <w:r w:rsidR="003D253E" w:rsidRPr="003129E1">
        <w:rPr>
          <w:rFonts w:eastAsia="Times New Roman"/>
        </w:rPr>
        <w:t>The</w:t>
      </w:r>
      <w:r w:rsidR="00053F56" w:rsidRPr="003129E1">
        <w:rPr>
          <w:rFonts w:eastAsia="Times New Roman"/>
        </w:rPr>
        <w:t xml:space="preserve"> Court </w:t>
      </w:r>
      <w:r w:rsidR="00511C93" w:rsidRPr="003129E1">
        <w:rPr>
          <w:rFonts w:eastAsia="Times New Roman"/>
        </w:rPr>
        <w:t>notes</w:t>
      </w:r>
      <w:r w:rsidR="00053F56" w:rsidRPr="003129E1">
        <w:rPr>
          <w:rFonts w:eastAsia="Times New Roman"/>
        </w:rPr>
        <w:t xml:space="preserve"> that the </w:t>
      </w:r>
      <w:r w:rsidR="001D4AB1" w:rsidRPr="003129E1">
        <w:rPr>
          <w:rFonts w:eastAsia="Times New Roman"/>
        </w:rPr>
        <w:t xml:space="preserve">essence of the </w:t>
      </w:r>
      <w:r w:rsidR="003D253E" w:rsidRPr="003129E1">
        <w:rPr>
          <w:rFonts w:eastAsia="Times New Roman"/>
        </w:rPr>
        <w:t>disagreement between the parties concern</w:t>
      </w:r>
      <w:r w:rsidR="00A420A1" w:rsidRPr="003129E1">
        <w:rPr>
          <w:rFonts w:eastAsia="Times New Roman"/>
        </w:rPr>
        <w:t>s</w:t>
      </w:r>
      <w:r w:rsidR="00511588" w:rsidRPr="003129E1">
        <w:rPr>
          <w:rFonts w:eastAsia="Times New Roman"/>
        </w:rPr>
        <w:t xml:space="preserve"> </w:t>
      </w:r>
      <w:r w:rsidR="003D253E" w:rsidRPr="003129E1">
        <w:rPr>
          <w:rFonts w:eastAsia="Times New Roman"/>
        </w:rPr>
        <w:t>the</w:t>
      </w:r>
      <w:r w:rsidR="003B1859" w:rsidRPr="003129E1">
        <w:rPr>
          <w:rFonts w:eastAsia="Times New Roman"/>
        </w:rPr>
        <w:t xml:space="preserve"> exact circumstances in which </w:t>
      </w:r>
      <w:r w:rsidR="00BA4BA7" w:rsidRPr="003129E1">
        <w:rPr>
          <w:rFonts w:eastAsia="Times New Roman"/>
        </w:rPr>
        <w:t>the</w:t>
      </w:r>
      <w:r w:rsidR="003B1859" w:rsidRPr="003129E1">
        <w:rPr>
          <w:rFonts w:eastAsia="Times New Roman"/>
        </w:rPr>
        <w:t xml:space="preserve"> </w:t>
      </w:r>
      <w:r w:rsidR="005518A6" w:rsidRPr="003129E1">
        <w:rPr>
          <w:rFonts w:eastAsia="Times New Roman"/>
        </w:rPr>
        <w:t xml:space="preserve">applicant sustained her </w:t>
      </w:r>
      <w:r w:rsidR="003B1859" w:rsidRPr="003129E1">
        <w:rPr>
          <w:rFonts w:eastAsia="Times New Roman"/>
        </w:rPr>
        <w:t>injuries</w:t>
      </w:r>
      <w:r w:rsidR="00A33AFA" w:rsidRPr="003129E1">
        <w:rPr>
          <w:rFonts w:eastAsia="Times New Roman"/>
        </w:rPr>
        <w:t xml:space="preserve"> </w:t>
      </w:r>
      <w:r w:rsidR="003B1859" w:rsidRPr="003129E1">
        <w:rPr>
          <w:rFonts w:eastAsia="Times New Roman"/>
        </w:rPr>
        <w:t>and</w:t>
      </w:r>
      <w:r w:rsidR="003D253E" w:rsidRPr="003129E1">
        <w:rPr>
          <w:rFonts w:eastAsia="Times New Roman"/>
        </w:rPr>
        <w:t xml:space="preserve"> whether recourse to physical force </w:t>
      </w:r>
      <w:r w:rsidR="003B2186" w:rsidRPr="003129E1">
        <w:rPr>
          <w:rFonts w:eastAsia="Times New Roman"/>
        </w:rPr>
        <w:t>had been</w:t>
      </w:r>
      <w:r w:rsidR="003D253E" w:rsidRPr="003129E1">
        <w:rPr>
          <w:rFonts w:eastAsia="Times New Roman"/>
        </w:rPr>
        <w:t xml:space="preserve"> strictly necessary</w:t>
      </w:r>
      <w:r w:rsidR="00EA36BB" w:rsidRPr="003129E1">
        <w:rPr>
          <w:rFonts w:eastAsia="Times New Roman"/>
        </w:rPr>
        <w:t>.</w:t>
      </w:r>
    </w:p>
    <w:p w:rsidR="009E7C75" w:rsidRPr="003129E1" w:rsidRDefault="007B1EC1" w:rsidP="003129E1">
      <w:pPr>
        <w:pStyle w:val="ECHRPara"/>
        <w:rPr>
          <w:rFonts w:eastAsia="Times New Roman"/>
        </w:rPr>
      </w:pPr>
      <w:r w:rsidRPr="003129E1">
        <w:rPr>
          <w:rFonts w:eastAsia="Times New Roman"/>
        </w:rPr>
        <w:fldChar w:fldCharType="begin"/>
      </w:r>
      <w:r w:rsidRPr="003129E1">
        <w:rPr>
          <w:rFonts w:eastAsia="Times New Roman"/>
        </w:rPr>
        <w:instrText xml:space="preserve"> SEQ level0 \*arabic </w:instrText>
      </w:r>
      <w:r w:rsidRPr="003129E1">
        <w:rPr>
          <w:rFonts w:eastAsia="Times New Roman"/>
        </w:rPr>
        <w:fldChar w:fldCharType="separate"/>
      </w:r>
      <w:r w:rsidR="003129E1" w:rsidRPr="003129E1">
        <w:rPr>
          <w:rFonts w:eastAsia="Times New Roman"/>
          <w:noProof/>
        </w:rPr>
        <w:t>41</w:t>
      </w:r>
      <w:r w:rsidRPr="003129E1">
        <w:rPr>
          <w:rFonts w:eastAsia="Times New Roman"/>
        </w:rPr>
        <w:fldChar w:fldCharType="end"/>
      </w:r>
      <w:r w:rsidRPr="003129E1">
        <w:rPr>
          <w:rFonts w:eastAsia="Times New Roman"/>
        </w:rPr>
        <w:t>.  </w:t>
      </w:r>
      <w:r w:rsidR="002018F7" w:rsidRPr="003129E1">
        <w:rPr>
          <w:rFonts w:eastAsia="Times New Roman"/>
        </w:rPr>
        <w:t>The Court considers that during</w:t>
      </w:r>
      <w:r w:rsidR="00B86F47" w:rsidRPr="003129E1">
        <w:rPr>
          <w:rFonts w:eastAsia="Times New Roman"/>
        </w:rPr>
        <w:t xml:space="preserve"> </w:t>
      </w:r>
      <w:r w:rsidR="00AA7E74" w:rsidRPr="003129E1">
        <w:rPr>
          <w:rFonts w:eastAsia="Times New Roman"/>
        </w:rPr>
        <w:t>the period the applicant spent at the police station</w:t>
      </w:r>
      <w:r w:rsidR="00B86F47" w:rsidRPr="003129E1">
        <w:rPr>
          <w:rFonts w:eastAsia="Times New Roman"/>
        </w:rPr>
        <w:t xml:space="preserve"> </w:t>
      </w:r>
      <w:r w:rsidR="00173F69" w:rsidRPr="003129E1">
        <w:rPr>
          <w:rFonts w:eastAsia="Times New Roman"/>
        </w:rPr>
        <w:t xml:space="preserve">the applicant </w:t>
      </w:r>
      <w:r w:rsidR="005518A6" w:rsidRPr="003129E1">
        <w:rPr>
          <w:rFonts w:eastAsia="Times New Roman"/>
        </w:rPr>
        <w:t>can b</w:t>
      </w:r>
      <w:r w:rsidR="00987D0E" w:rsidRPr="003129E1">
        <w:rPr>
          <w:rFonts w:eastAsia="Times New Roman"/>
        </w:rPr>
        <w:t xml:space="preserve">e </w:t>
      </w:r>
      <w:r w:rsidR="000B735D" w:rsidRPr="003129E1">
        <w:rPr>
          <w:rFonts w:eastAsia="Times New Roman"/>
        </w:rPr>
        <w:t>viewed</w:t>
      </w:r>
      <w:r w:rsidR="00987D0E" w:rsidRPr="003129E1">
        <w:rPr>
          <w:rFonts w:eastAsia="Times New Roman"/>
        </w:rPr>
        <w:t xml:space="preserve"> as </w:t>
      </w:r>
      <w:r w:rsidR="00BF0205" w:rsidRPr="003129E1">
        <w:rPr>
          <w:rFonts w:eastAsia="Times New Roman"/>
        </w:rPr>
        <w:t>having been</w:t>
      </w:r>
      <w:r w:rsidR="00987D0E" w:rsidRPr="003129E1">
        <w:rPr>
          <w:rFonts w:eastAsia="Times New Roman"/>
        </w:rPr>
        <w:t xml:space="preserve"> under the control of the authorities</w:t>
      </w:r>
      <w:r w:rsidR="002018F7" w:rsidRPr="003129E1">
        <w:rPr>
          <w:rFonts w:eastAsia="Times New Roman"/>
        </w:rPr>
        <w:t>.</w:t>
      </w:r>
      <w:r w:rsidR="00AB05A8" w:rsidRPr="003129E1">
        <w:rPr>
          <w:rFonts w:eastAsia="Times New Roman"/>
        </w:rPr>
        <w:t xml:space="preserve"> </w:t>
      </w:r>
      <w:r w:rsidR="004C133D" w:rsidRPr="003129E1">
        <w:rPr>
          <w:rFonts w:eastAsia="Times New Roman"/>
        </w:rPr>
        <w:t xml:space="preserve">Thus, in contrast to cases in </w:t>
      </w:r>
      <w:r w:rsidR="00BD2879" w:rsidRPr="003129E1">
        <w:rPr>
          <w:rFonts w:eastAsia="Times New Roman"/>
        </w:rPr>
        <w:t>which it could not be established that the applicant had been under the control of the authorities, in the present case t</w:t>
      </w:r>
      <w:r w:rsidR="002018F7" w:rsidRPr="003129E1">
        <w:rPr>
          <w:rFonts w:eastAsia="Times New Roman"/>
        </w:rPr>
        <w:t>he</w:t>
      </w:r>
      <w:r w:rsidR="004A69E2" w:rsidRPr="003129E1">
        <w:rPr>
          <w:rFonts w:eastAsia="Times New Roman"/>
        </w:rPr>
        <w:t xml:space="preserve"> </w:t>
      </w:r>
      <w:r w:rsidR="003D253E" w:rsidRPr="003129E1">
        <w:rPr>
          <w:rFonts w:eastAsia="Times New Roman"/>
        </w:rPr>
        <w:t>Court</w:t>
      </w:r>
      <w:r w:rsidR="002018F7" w:rsidRPr="003129E1">
        <w:rPr>
          <w:rFonts w:eastAsia="Times New Roman"/>
        </w:rPr>
        <w:t xml:space="preserve"> </w:t>
      </w:r>
      <w:r w:rsidR="00511C93" w:rsidRPr="003129E1">
        <w:rPr>
          <w:rFonts w:eastAsia="Times New Roman"/>
        </w:rPr>
        <w:t>concludes</w:t>
      </w:r>
      <w:r w:rsidR="003D253E" w:rsidRPr="003129E1">
        <w:rPr>
          <w:rFonts w:eastAsia="Times New Roman"/>
        </w:rPr>
        <w:t xml:space="preserve"> that the burden rests on the Government to provide a satisfactory and convincing explanation as to </w:t>
      </w:r>
      <w:r w:rsidR="00B817CE" w:rsidRPr="003129E1">
        <w:rPr>
          <w:rFonts w:eastAsia="Times New Roman"/>
        </w:rPr>
        <w:t xml:space="preserve">the circumstances in which the </w:t>
      </w:r>
      <w:r w:rsidR="000B1727" w:rsidRPr="003129E1">
        <w:rPr>
          <w:rFonts w:eastAsia="Times New Roman"/>
        </w:rPr>
        <w:t>injuries were sustained and</w:t>
      </w:r>
      <w:r w:rsidR="0003746B" w:rsidRPr="003129E1">
        <w:rPr>
          <w:rFonts w:eastAsia="Times New Roman"/>
        </w:rPr>
        <w:t xml:space="preserve"> </w:t>
      </w:r>
      <w:r w:rsidR="003D253E" w:rsidRPr="003129E1">
        <w:rPr>
          <w:rFonts w:eastAsia="Times New Roman"/>
        </w:rPr>
        <w:t xml:space="preserve">whether the force </w:t>
      </w:r>
      <w:r w:rsidR="005518A6" w:rsidRPr="003129E1">
        <w:rPr>
          <w:rFonts w:eastAsia="Times New Roman"/>
        </w:rPr>
        <w:t xml:space="preserve">was </w:t>
      </w:r>
      <w:r w:rsidR="00402B3E" w:rsidRPr="003129E1">
        <w:rPr>
          <w:rFonts w:eastAsia="Times New Roman"/>
        </w:rPr>
        <w:t>made</w:t>
      </w:r>
      <w:r w:rsidR="003D253E" w:rsidRPr="003129E1">
        <w:rPr>
          <w:rFonts w:eastAsia="Times New Roman"/>
        </w:rPr>
        <w:t xml:space="preserve"> strictly necessary</w:t>
      </w:r>
      <w:r w:rsidR="00402B3E" w:rsidRPr="003129E1">
        <w:rPr>
          <w:rFonts w:eastAsia="Times New Roman"/>
        </w:rPr>
        <w:t xml:space="preserve"> by </w:t>
      </w:r>
      <w:r w:rsidR="00DE5A5A" w:rsidRPr="003129E1">
        <w:rPr>
          <w:rFonts w:eastAsia="Times New Roman"/>
        </w:rPr>
        <w:t>the applicant</w:t>
      </w:r>
      <w:r w:rsidR="003129E1" w:rsidRPr="003129E1">
        <w:rPr>
          <w:rFonts w:eastAsia="Times New Roman"/>
        </w:rPr>
        <w:t>’</w:t>
      </w:r>
      <w:r w:rsidR="00DE5A5A" w:rsidRPr="003129E1">
        <w:rPr>
          <w:rFonts w:eastAsia="Times New Roman"/>
        </w:rPr>
        <w:t>s</w:t>
      </w:r>
      <w:r w:rsidR="00402B3E" w:rsidRPr="003129E1">
        <w:rPr>
          <w:rFonts w:eastAsia="Times New Roman"/>
        </w:rPr>
        <w:t xml:space="preserve"> own conduct</w:t>
      </w:r>
      <w:r w:rsidR="003D253E" w:rsidRPr="003129E1">
        <w:rPr>
          <w:rFonts w:eastAsia="Times New Roman"/>
        </w:rPr>
        <w:t xml:space="preserve"> (see</w:t>
      </w:r>
      <w:r w:rsidR="0042478E" w:rsidRPr="003129E1">
        <w:rPr>
          <w:rFonts w:eastAsia="Times New Roman"/>
        </w:rPr>
        <w:t xml:space="preserve"> </w:t>
      </w:r>
      <w:r w:rsidR="00A85F6C" w:rsidRPr="003129E1">
        <w:rPr>
          <w:rFonts w:eastAsia="Times New Roman"/>
          <w:i/>
        </w:rPr>
        <w:t>Bouyid</w:t>
      </w:r>
      <w:r w:rsidR="00A85F6C" w:rsidRPr="003129E1">
        <w:rPr>
          <w:rFonts w:eastAsia="Times New Roman"/>
        </w:rPr>
        <w:t>,</w:t>
      </w:r>
      <w:r w:rsidR="003D253E" w:rsidRPr="003129E1">
        <w:rPr>
          <w:rFonts w:eastAsia="Times New Roman"/>
        </w:rPr>
        <w:t xml:space="preserve"> cited above, §</w:t>
      </w:r>
      <w:r w:rsidR="00C431BB" w:rsidRPr="003129E1">
        <w:rPr>
          <w:rFonts w:eastAsia="Times New Roman"/>
        </w:rPr>
        <w:t>§</w:t>
      </w:r>
      <w:r w:rsidR="003D253E" w:rsidRPr="003129E1">
        <w:rPr>
          <w:rFonts w:eastAsia="Times New Roman"/>
        </w:rPr>
        <w:t xml:space="preserve"> 83</w:t>
      </w:r>
      <w:r w:rsidR="004A69E2" w:rsidRPr="003129E1">
        <w:rPr>
          <w:rFonts w:eastAsia="Times New Roman"/>
        </w:rPr>
        <w:t>-84</w:t>
      </w:r>
      <w:r w:rsidR="003D253E" w:rsidRPr="003129E1">
        <w:rPr>
          <w:rFonts w:eastAsia="Times New Roman"/>
        </w:rPr>
        <w:t>).</w:t>
      </w:r>
    </w:p>
    <w:p w:rsidR="009E7C75" w:rsidRPr="003129E1" w:rsidRDefault="009D31F2" w:rsidP="003129E1">
      <w:pPr>
        <w:pStyle w:val="ECHRPara"/>
        <w:rPr>
          <w:rFonts w:eastAsia="Times New Roman"/>
        </w:rPr>
      </w:pPr>
      <w:r w:rsidRPr="003129E1">
        <w:rPr>
          <w:rFonts w:eastAsia="Times New Roman"/>
        </w:rPr>
        <w:fldChar w:fldCharType="begin"/>
      </w:r>
      <w:r w:rsidRPr="003129E1">
        <w:rPr>
          <w:rFonts w:eastAsia="Times New Roman"/>
        </w:rPr>
        <w:instrText xml:space="preserve"> SEQ level0 \*arabic </w:instrText>
      </w:r>
      <w:r w:rsidRPr="003129E1">
        <w:rPr>
          <w:rFonts w:eastAsia="Times New Roman"/>
        </w:rPr>
        <w:fldChar w:fldCharType="separate"/>
      </w:r>
      <w:r w:rsidR="003129E1" w:rsidRPr="003129E1">
        <w:rPr>
          <w:rFonts w:eastAsia="Times New Roman"/>
          <w:noProof/>
        </w:rPr>
        <w:t>42</w:t>
      </w:r>
      <w:r w:rsidRPr="003129E1">
        <w:rPr>
          <w:rFonts w:eastAsia="Times New Roman"/>
        </w:rPr>
        <w:fldChar w:fldCharType="end"/>
      </w:r>
      <w:r w:rsidRPr="003129E1">
        <w:rPr>
          <w:rFonts w:eastAsia="Times New Roman"/>
        </w:rPr>
        <w:t>.  </w:t>
      </w:r>
      <w:r w:rsidR="000C0C1F" w:rsidRPr="003129E1">
        <w:rPr>
          <w:rFonts w:eastAsia="Times New Roman"/>
        </w:rPr>
        <w:t>In their observations the G</w:t>
      </w:r>
      <w:r w:rsidR="0077114D" w:rsidRPr="003129E1">
        <w:rPr>
          <w:rFonts w:eastAsia="Times New Roman"/>
        </w:rPr>
        <w:t xml:space="preserve">overnment </w:t>
      </w:r>
      <w:r w:rsidR="00AD278D" w:rsidRPr="003129E1">
        <w:rPr>
          <w:rFonts w:eastAsia="Times New Roman"/>
        </w:rPr>
        <w:t xml:space="preserve">argued that all the injuries, including the fractured finger, could </w:t>
      </w:r>
      <w:r w:rsidR="009F7F9B" w:rsidRPr="003129E1">
        <w:rPr>
          <w:rFonts w:eastAsia="Times New Roman"/>
        </w:rPr>
        <w:t>plausibly</w:t>
      </w:r>
      <w:r w:rsidR="00366999" w:rsidRPr="003129E1">
        <w:rPr>
          <w:rFonts w:eastAsia="Times New Roman"/>
        </w:rPr>
        <w:t xml:space="preserve"> and convincingly</w:t>
      </w:r>
      <w:r w:rsidR="00AD278D" w:rsidRPr="003129E1">
        <w:rPr>
          <w:rFonts w:eastAsia="Times New Roman"/>
        </w:rPr>
        <w:t xml:space="preserve"> </w:t>
      </w:r>
      <w:r w:rsidR="007421E1" w:rsidRPr="003129E1">
        <w:rPr>
          <w:rFonts w:eastAsia="Times New Roman"/>
        </w:rPr>
        <w:t xml:space="preserve">be </w:t>
      </w:r>
      <w:r w:rsidR="00AD278D" w:rsidRPr="003129E1">
        <w:rPr>
          <w:rFonts w:eastAsia="Times New Roman"/>
        </w:rPr>
        <w:t>explained by the applicant</w:t>
      </w:r>
      <w:r w:rsidR="003129E1" w:rsidRPr="003129E1">
        <w:rPr>
          <w:rFonts w:eastAsia="Times New Roman"/>
        </w:rPr>
        <w:t>’</w:t>
      </w:r>
      <w:r w:rsidR="00AD278D" w:rsidRPr="003129E1">
        <w:rPr>
          <w:rFonts w:eastAsia="Times New Roman"/>
        </w:rPr>
        <w:t xml:space="preserve">s resistance </w:t>
      </w:r>
      <w:r w:rsidR="00AB155D" w:rsidRPr="003129E1">
        <w:rPr>
          <w:rFonts w:eastAsia="Times New Roman"/>
        </w:rPr>
        <w:t>to</w:t>
      </w:r>
      <w:r w:rsidR="00325B65" w:rsidRPr="003129E1">
        <w:rPr>
          <w:rFonts w:eastAsia="Times New Roman"/>
        </w:rPr>
        <w:t xml:space="preserve"> </w:t>
      </w:r>
      <w:r w:rsidR="00AD278D" w:rsidRPr="003129E1">
        <w:rPr>
          <w:rFonts w:eastAsia="Times New Roman"/>
        </w:rPr>
        <w:t xml:space="preserve">actions the police </w:t>
      </w:r>
      <w:r w:rsidR="007421E1" w:rsidRPr="003129E1">
        <w:rPr>
          <w:rFonts w:eastAsia="Times New Roman"/>
        </w:rPr>
        <w:t xml:space="preserve">had </w:t>
      </w:r>
      <w:r w:rsidR="00AD278D" w:rsidRPr="003129E1">
        <w:rPr>
          <w:rFonts w:eastAsia="Times New Roman"/>
        </w:rPr>
        <w:t>t</w:t>
      </w:r>
      <w:r w:rsidR="007421E1" w:rsidRPr="003129E1">
        <w:rPr>
          <w:rFonts w:eastAsia="Times New Roman"/>
        </w:rPr>
        <w:t>a</w:t>
      </w:r>
      <w:r w:rsidR="00AD278D" w:rsidRPr="003129E1">
        <w:rPr>
          <w:rFonts w:eastAsia="Times New Roman"/>
        </w:rPr>
        <w:t>k</w:t>
      </w:r>
      <w:r w:rsidR="007421E1" w:rsidRPr="003129E1">
        <w:rPr>
          <w:rFonts w:eastAsia="Times New Roman"/>
        </w:rPr>
        <w:t>en</w:t>
      </w:r>
      <w:r w:rsidR="00AD278D" w:rsidRPr="003129E1">
        <w:rPr>
          <w:rFonts w:eastAsia="Times New Roman"/>
        </w:rPr>
        <w:t xml:space="preserve"> to contain her</w:t>
      </w:r>
      <w:r w:rsidR="00230165" w:rsidRPr="003129E1">
        <w:rPr>
          <w:rFonts w:eastAsia="Times New Roman"/>
        </w:rPr>
        <w:t xml:space="preserve"> </w:t>
      </w:r>
      <w:r w:rsidR="00380957" w:rsidRPr="003129E1">
        <w:rPr>
          <w:rFonts w:eastAsia="Times New Roman"/>
        </w:rPr>
        <w:t>incrementally agitated – and at times aggressive – behaviour</w:t>
      </w:r>
      <w:r w:rsidR="00AD278D" w:rsidRPr="003129E1">
        <w:rPr>
          <w:rFonts w:eastAsia="Times New Roman"/>
        </w:rPr>
        <w:t>.</w:t>
      </w:r>
      <w:r w:rsidR="0010159B" w:rsidRPr="003129E1">
        <w:rPr>
          <w:rFonts w:eastAsia="Times New Roman"/>
        </w:rPr>
        <w:t xml:space="preserve"> </w:t>
      </w:r>
      <w:r w:rsidR="00B81C2C" w:rsidRPr="003129E1">
        <w:rPr>
          <w:rFonts w:eastAsia="Times New Roman"/>
        </w:rPr>
        <w:t>In their view t</w:t>
      </w:r>
      <w:r w:rsidR="004A5AE5" w:rsidRPr="003129E1">
        <w:rPr>
          <w:rFonts w:eastAsia="Times New Roman"/>
        </w:rPr>
        <w:t xml:space="preserve">herefore the force used against the applicant </w:t>
      </w:r>
      <w:r w:rsidR="00BC777A" w:rsidRPr="003129E1">
        <w:rPr>
          <w:rFonts w:eastAsia="Times New Roman"/>
        </w:rPr>
        <w:t xml:space="preserve">by the police officers </w:t>
      </w:r>
      <w:r w:rsidR="004A5AE5" w:rsidRPr="003129E1">
        <w:rPr>
          <w:rFonts w:eastAsia="Times New Roman"/>
        </w:rPr>
        <w:t xml:space="preserve">had been made strictly necessary </w:t>
      </w:r>
      <w:r w:rsidR="00B81C2C" w:rsidRPr="003129E1">
        <w:rPr>
          <w:rFonts w:eastAsia="Times New Roman"/>
        </w:rPr>
        <w:t xml:space="preserve">by her </w:t>
      </w:r>
      <w:r w:rsidR="004A5AE5" w:rsidRPr="003129E1">
        <w:rPr>
          <w:rFonts w:eastAsia="Times New Roman"/>
        </w:rPr>
        <w:t>own conduct</w:t>
      </w:r>
      <w:r w:rsidR="00380957" w:rsidRPr="003129E1">
        <w:rPr>
          <w:rFonts w:eastAsia="Times New Roman"/>
        </w:rPr>
        <w:t>.</w:t>
      </w:r>
    </w:p>
    <w:p w:rsidR="009E7C75" w:rsidRPr="003129E1" w:rsidRDefault="00CE796B" w:rsidP="003129E1">
      <w:pPr>
        <w:pStyle w:val="ECHRPara"/>
      </w:pPr>
      <w:r w:rsidRPr="003129E1">
        <w:rPr>
          <w:rFonts w:eastAsia="Times New Roman"/>
        </w:rPr>
        <w:fldChar w:fldCharType="begin"/>
      </w:r>
      <w:r w:rsidRPr="003129E1">
        <w:rPr>
          <w:rFonts w:eastAsia="Times New Roman"/>
        </w:rPr>
        <w:instrText xml:space="preserve"> SEQ level0 \*arabic </w:instrText>
      </w:r>
      <w:r w:rsidRPr="003129E1">
        <w:rPr>
          <w:rFonts w:eastAsia="Times New Roman"/>
        </w:rPr>
        <w:fldChar w:fldCharType="separate"/>
      </w:r>
      <w:r w:rsidR="003129E1" w:rsidRPr="003129E1">
        <w:rPr>
          <w:rFonts w:eastAsia="Times New Roman"/>
          <w:noProof/>
        </w:rPr>
        <w:t>43</w:t>
      </w:r>
      <w:r w:rsidRPr="003129E1">
        <w:rPr>
          <w:rFonts w:eastAsia="Times New Roman"/>
        </w:rPr>
        <w:fldChar w:fldCharType="end"/>
      </w:r>
      <w:r w:rsidRPr="003129E1">
        <w:rPr>
          <w:rFonts w:eastAsia="Times New Roman"/>
        </w:rPr>
        <w:t>.  </w:t>
      </w:r>
      <w:r w:rsidR="00D00F74" w:rsidRPr="003129E1">
        <w:rPr>
          <w:rFonts w:eastAsia="Times New Roman"/>
        </w:rPr>
        <w:t xml:space="preserve">In support of their </w:t>
      </w:r>
      <w:r w:rsidR="000F1967" w:rsidRPr="003129E1">
        <w:rPr>
          <w:rFonts w:eastAsia="Times New Roman"/>
        </w:rPr>
        <w:t>position</w:t>
      </w:r>
      <w:r w:rsidR="00D00F74" w:rsidRPr="003129E1">
        <w:rPr>
          <w:rFonts w:eastAsia="Times New Roman"/>
        </w:rPr>
        <w:t xml:space="preserve"> they cited several </w:t>
      </w:r>
      <w:r w:rsidR="008E75AE" w:rsidRPr="003129E1">
        <w:rPr>
          <w:rFonts w:eastAsia="Times New Roman"/>
        </w:rPr>
        <w:t>elements</w:t>
      </w:r>
      <w:r w:rsidR="002531FB" w:rsidRPr="003129E1">
        <w:rPr>
          <w:rFonts w:eastAsia="Times New Roman"/>
        </w:rPr>
        <w:t xml:space="preserve"> attesting to the applicant</w:t>
      </w:r>
      <w:r w:rsidR="003129E1" w:rsidRPr="003129E1">
        <w:rPr>
          <w:rFonts w:eastAsia="Times New Roman"/>
        </w:rPr>
        <w:t>’</w:t>
      </w:r>
      <w:r w:rsidR="002531FB" w:rsidRPr="003129E1">
        <w:rPr>
          <w:rFonts w:eastAsia="Times New Roman"/>
        </w:rPr>
        <w:t xml:space="preserve">s agitated </w:t>
      </w:r>
      <w:r w:rsidR="00344E51" w:rsidRPr="003129E1">
        <w:rPr>
          <w:rFonts w:eastAsia="Times New Roman"/>
        </w:rPr>
        <w:t xml:space="preserve">and altered </w:t>
      </w:r>
      <w:r w:rsidR="00833269" w:rsidRPr="003129E1">
        <w:rPr>
          <w:rFonts w:eastAsia="Times New Roman"/>
        </w:rPr>
        <w:t>state.</w:t>
      </w:r>
      <w:r w:rsidRPr="003129E1">
        <w:rPr>
          <w:rFonts w:eastAsia="Times New Roman"/>
        </w:rPr>
        <w:t xml:space="preserve"> </w:t>
      </w:r>
      <w:r w:rsidRPr="003129E1">
        <w:t xml:space="preserve">First, they observed that witness statements </w:t>
      </w:r>
      <w:r w:rsidR="007923BE" w:rsidRPr="003129E1">
        <w:t xml:space="preserve">about </w:t>
      </w:r>
      <w:r w:rsidRPr="003129E1">
        <w:t>the applicant</w:t>
      </w:r>
      <w:r w:rsidR="003129E1" w:rsidRPr="003129E1">
        <w:t>’</w:t>
      </w:r>
      <w:r w:rsidRPr="003129E1">
        <w:t xml:space="preserve">s </w:t>
      </w:r>
      <w:r w:rsidR="00B81C2C" w:rsidRPr="003129E1">
        <w:t xml:space="preserve">being </w:t>
      </w:r>
      <w:r w:rsidR="00636683" w:rsidRPr="003129E1">
        <w:t>sober</w:t>
      </w:r>
      <w:r w:rsidRPr="003129E1">
        <w:t xml:space="preserve"> prior to being stopped in the street did not exclude </w:t>
      </w:r>
      <w:r w:rsidR="00B81C2C" w:rsidRPr="003129E1">
        <w:t xml:space="preserve">the possibility </w:t>
      </w:r>
      <w:r w:rsidRPr="003129E1">
        <w:t xml:space="preserve">that she </w:t>
      </w:r>
      <w:r w:rsidR="00B81C2C" w:rsidRPr="003129E1">
        <w:t xml:space="preserve">was </w:t>
      </w:r>
      <w:r w:rsidRPr="003129E1">
        <w:t xml:space="preserve">intoxicated at the </w:t>
      </w:r>
      <w:r w:rsidR="00B81C2C" w:rsidRPr="003129E1">
        <w:t xml:space="preserve">time </w:t>
      </w:r>
      <w:r w:rsidRPr="003129E1">
        <w:t xml:space="preserve">she got behind the wheel of her vehicle. Second, they relied on the </w:t>
      </w:r>
      <w:r w:rsidR="00B503C0" w:rsidRPr="003129E1">
        <w:t>psychological</w:t>
      </w:r>
      <w:r w:rsidRPr="003129E1">
        <w:t xml:space="preserve"> report by the expert appointed by the applicant in the context of the criminal proceedings against her </w:t>
      </w:r>
      <w:r w:rsidR="009D06D7" w:rsidRPr="003129E1">
        <w:t xml:space="preserve">and </w:t>
      </w:r>
      <w:r w:rsidRPr="003129E1">
        <w:t>highlighted the</w:t>
      </w:r>
      <w:r w:rsidR="007D7D84" w:rsidRPr="003129E1">
        <w:t xml:space="preserve"> part</w:t>
      </w:r>
      <w:r w:rsidRPr="003129E1">
        <w:t xml:space="preserve"> </w:t>
      </w:r>
      <w:r w:rsidR="00F73A42" w:rsidRPr="003129E1">
        <w:t xml:space="preserve">stating </w:t>
      </w:r>
      <w:r w:rsidRPr="003129E1">
        <w:t xml:space="preserve">that </w:t>
      </w:r>
      <w:r w:rsidR="00B81C2C" w:rsidRPr="003129E1">
        <w:t xml:space="preserve">she had been </w:t>
      </w:r>
      <w:r w:rsidRPr="003129E1">
        <w:t xml:space="preserve">taking medication which could have the same </w:t>
      </w:r>
      <w:r w:rsidR="007923BE" w:rsidRPr="003129E1">
        <w:t>effect</w:t>
      </w:r>
      <w:r w:rsidRPr="003129E1">
        <w:t xml:space="preserve"> as excessive alcohol consumption</w:t>
      </w:r>
      <w:r w:rsidR="009D06D7" w:rsidRPr="003129E1">
        <w:t xml:space="preserve"> </w:t>
      </w:r>
      <w:r w:rsidR="00B81C2C" w:rsidRPr="003129E1">
        <w:t xml:space="preserve">when combined with even a very small </w:t>
      </w:r>
      <w:r w:rsidR="00B81C2C" w:rsidRPr="003129E1">
        <w:lastRenderedPageBreak/>
        <w:t xml:space="preserve">amount of alcohol </w:t>
      </w:r>
      <w:r w:rsidR="009D06D7" w:rsidRPr="003129E1">
        <w:t xml:space="preserve">(see </w:t>
      </w:r>
      <w:r w:rsidR="005E063B" w:rsidRPr="003129E1">
        <w:t>paragraph</w:t>
      </w:r>
      <w:r w:rsidR="009D06D7" w:rsidRPr="003129E1">
        <w:t xml:space="preserve"> </w:t>
      </w:r>
      <w:r w:rsidR="000506EA" w:rsidRPr="003129E1">
        <w:fldChar w:fldCharType="begin"/>
      </w:r>
      <w:r w:rsidR="000506EA" w:rsidRPr="003129E1">
        <w:instrText xml:space="preserve"> REF Psych_report \h </w:instrText>
      </w:r>
      <w:r w:rsidR="008840CB" w:rsidRPr="003129E1">
        <w:instrText xml:space="preserve"> \* MERGEFORMAT </w:instrText>
      </w:r>
      <w:r w:rsidR="000506EA" w:rsidRPr="003129E1">
        <w:fldChar w:fldCharType="separate"/>
      </w:r>
      <w:r w:rsidR="003129E1" w:rsidRPr="003129E1">
        <w:rPr>
          <w:noProof/>
        </w:rPr>
        <w:t>29</w:t>
      </w:r>
      <w:r w:rsidR="000506EA" w:rsidRPr="003129E1">
        <w:fldChar w:fldCharType="end"/>
      </w:r>
      <w:r w:rsidR="000506EA" w:rsidRPr="003129E1">
        <w:t xml:space="preserve"> </w:t>
      </w:r>
      <w:r w:rsidR="005E063B" w:rsidRPr="003129E1">
        <w:t>above</w:t>
      </w:r>
      <w:r w:rsidR="009D06D7" w:rsidRPr="003129E1">
        <w:t>)</w:t>
      </w:r>
      <w:r w:rsidRPr="003129E1">
        <w:t>. They added that th</w:t>
      </w:r>
      <w:r w:rsidR="00B81C2C" w:rsidRPr="003129E1">
        <w:t>e</w:t>
      </w:r>
      <w:r w:rsidRPr="003129E1">
        <w:t xml:space="preserve"> report had been ad</w:t>
      </w:r>
      <w:r w:rsidR="00B81C2C" w:rsidRPr="003129E1">
        <w:t>ded</w:t>
      </w:r>
      <w:r w:rsidRPr="003129E1">
        <w:t xml:space="preserve"> to the investigation file and had been examined </w:t>
      </w:r>
      <w:r w:rsidR="00B81C2C" w:rsidRPr="003129E1">
        <w:t xml:space="preserve">closely </w:t>
      </w:r>
      <w:r w:rsidRPr="003129E1">
        <w:t xml:space="preserve">by the </w:t>
      </w:r>
      <w:r w:rsidR="007923BE" w:rsidRPr="003129E1">
        <w:t>p</w:t>
      </w:r>
      <w:r w:rsidRPr="003129E1">
        <w:t xml:space="preserve">rosecutor and investigating judge. </w:t>
      </w:r>
      <w:r w:rsidR="005E063B" w:rsidRPr="003129E1">
        <w:t xml:space="preserve">They also </w:t>
      </w:r>
      <w:r w:rsidRPr="003129E1">
        <w:t>cit</w:t>
      </w:r>
      <w:r w:rsidR="005E063B" w:rsidRPr="003129E1">
        <w:t xml:space="preserve">ed the report </w:t>
      </w:r>
      <w:r w:rsidR="00563A9A" w:rsidRPr="003129E1">
        <w:t xml:space="preserve">drawn up by the </w:t>
      </w:r>
      <w:r w:rsidR="007923BE" w:rsidRPr="003129E1">
        <w:t>officer</w:t>
      </w:r>
      <w:r w:rsidR="00563A9A" w:rsidRPr="003129E1">
        <w:t xml:space="preserve"> on duty at</w:t>
      </w:r>
      <w:r w:rsidR="005E063B" w:rsidRPr="003129E1">
        <w:t xml:space="preserve"> the Benevento </w:t>
      </w:r>
      <w:r w:rsidR="00B81C2C" w:rsidRPr="003129E1">
        <w:t>p</w:t>
      </w:r>
      <w:r w:rsidRPr="003129E1">
        <w:t xml:space="preserve">olice </w:t>
      </w:r>
      <w:r w:rsidR="00B81C2C" w:rsidRPr="003129E1">
        <w:t>station</w:t>
      </w:r>
      <w:r w:rsidRPr="003129E1">
        <w:t xml:space="preserve"> where the applicant </w:t>
      </w:r>
      <w:r w:rsidR="00667370" w:rsidRPr="003129E1">
        <w:t xml:space="preserve">had </w:t>
      </w:r>
      <w:r w:rsidR="00B96F56" w:rsidRPr="003129E1">
        <w:t>attempted</w:t>
      </w:r>
      <w:r w:rsidRPr="003129E1">
        <w:t xml:space="preserve"> to file her criminal complaint, which describe</w:t>
      </w:r>
      <w:r w:rsidR="007923BE" w:rsidRPr="003129E1">
        <w:t>d</w:t>
      </w:r>
      <w:r w:rsidRPr="003129E1">
        <w:t xml:space="preserve"> </w:t>
      </w:r>
      <w:r w:rsidR="007923BE" w:rsidRPr="003129E1">
        <w:t>her</w:t>
      </w:r>
      <w:r w:rsidRPr="003129E1">
        <w:t xml:space="preserve"> as be</w:t>
      </w:r>
      <w:r w:rsidR="00B81C2C" w:rsidRPr="003129E1">
        <w:t>i</w:t>
      </w:r>
      <w:r w:rsidRPr="003129E1">
        <w:t>n</w:t>
      </w:r>
      <w:r w:rsidR="00B81C2C" w:rsidRPr="003129E1">
        <w:t>g</w:t>
      </w:r>
      <w:r w:rsidRPr="003129E1">
        <w:t xml:space="preserve"> </w:t>
      </w:r>
      <w:r w:rsidR="005E063B" w:rsidRPr="003129E1">
        <w:t>extremely</w:t>
      </w:r>
      <w:r w:rsidR="00C42C83" w:rsidRPr="003129E1">
        <w:t xml:space="preserve"> agitated (see paragraph </w:t>
      </w:r>
      <w:r w:rsidR="008341D1" w:rsidRPr="003129E1">
        <w:fldChar w:fldCharType="begin"/>
      </w:r>
      <w:r w:rsidR="008341D1" w:rsidRPr="003129E1">
        <w:instrText xml:space="preserve"> REF State_Police_report \h </w:instrText>
      </w:r>
      <w:r w:rsidR="008840CB" w:rsidRPr="003129E1">
        <w:instrText xml:space="preserve"> \* MERGEFORMAT </w:instrText>
      </w:r>
      <w:r w:rsidR="008341D1" w:rsidRPr="003129E1">
        <w:fldChar w:fldCharType="separate"/>
      </w:r>
      <w:r w:rsidR="003129E1" w:rsidRPr="003129E1">
        <w:rPr>
          <w:noProof/>
        </w:rPr>
        <w:t>16</w:t>
      </w:r>
      <w:r w:rsidR="008341D1" w:rsidRPr="003129E1">
        <w:fldChar w:fldCharType="end"/>
      </w:r>
      <w:r w:rsidR="006510CE" w:rsidRPr="003129E1">
        <w:t xml:space="preserve"> </w:t>
      </w:r>
      <w:r w:rsidRPr="003129E1">
        <w:t>above).</w:t>
      </w:r>
      <w:r w:rsidR="00AD6D1C" w:rsidRPr="003129E1">
        <w:t xml:space="preserve"> </w:t>
      </w:r>
      <w:r w:rsidR="00245BCE" w:rsidRPr="003129E1">
        <w:t>The Government</w:t>
      </w:r>
      <w:r w:rsidR="008974D1" w:rsidRPr="003129E1">
        <w:t xml:space="preserve"> further pointed out that the applicant</w:t>
      </w:r>
      <w:r w:rsidR="003129E1" w:rsidRPr="003129E1">
        <w:t>’</w:t>
      </w:r>
      <w:r w:rsidR="008974D1" w:rsidRPr="003129E1">
        <w:t xml:space="preserve">s aggressiveness </w:t>
      </w:r>
      <w:r w:rsidR="00B81C2C" w:rsidRPr="003129E1">
        <w:t xml:space="preserve">was </w:t>
      </w:r>
      <w:r w:rsidR="008974D1" w:rsidRPr="003129E1">
        <w:t>corroborat</w:t>
      </w:r>
      <w:r w:rsidR="00B81C2C" w:rsidRPr="003129E1">
        <w:t xml:space="preserve">ed by the fact </w:t>
      </w:r>
      <w:r w:rsidR="008974D1" w:rsidRPr="003129E1">
        <w:t xml:space="preserve">that </w:t>
      </w:r>
      <w:r w:rsidRPr="003129E1">
        <w:t>one of the agents at the</w:t>
      </w:r>
      <w:r w:rsidR="008974D1" w:rsidRPr="003129E1">
        <w:t xml:space="preserve"> </w:t>
      </w:r>
      <w:r w:rsidR="007923BE" w:rsidRPr="003129E1">
        <w:t>m</w:t>
      </w:r>
      <w:r w:rsidR="008974D1" w:rsidRPr="003129E1">
        <w:t xml:space="preserve">unicipal </w:t>
      </w:r>
      <w:r w:rsidR="00B81C2C" w:rsidRPr="003129E1">
        <w:t>p</w:t>
      </w:r>
      <w:r w:rsidR="008974D1" w:rsidRPr="003129E1">
        <w:t>olice</w:t>
      </w:r>
      <w:r w:rsidR="00B81C2C" w:rsidRPr="003129E1">
        <w:t xml:space="preserve"> </w:t>
      </w:r>
      <w:r w:rsidRPr="003129E1">
        <w:t xml:space="preserve">station had been pushed by the applicant </w:t>
      </w:r>
      <w:r w:rsidR="00556BAD" w:rsidRPr="003129E1">
        <w:t xml:space="preserve">and </w:t>
      </w:r>
      <w:r w:rsidRPr="003129E1">
        <w:t>injure</w:t>
      </w:r>
      <w:r w:rsidR="00B81C2C" w:rsidRPr="003129E1">
        <w:t>d</w:t>
      </w:r>
      <w:r w:rsidRPr="003129E1">
        <w:t xml:space="preserve"> as a </w:t>
      </w:r>
      <w:r w:rsidR="007923BE" w:rsidRPr="003129E1">
        <w:t>result</w:t>
      </w:r>
      <w:r w:rsidRPr="003129E1">
        <w:t>.</w:t>
      </w:r>
      <w:r w:rsidR="0002563E" w:rsidRPr="003129E1">
        <w:t xml:space="preserve"> Moreover, the Government reiterated that criminal proceedings had been initiated against the applicant for offences against the police officers, including</w:t>
      </w:r>
      <w:r w:rsidR="00AF4C04" w:rsidRPr="003129E1">
        <w:t xml:space="preserve"> </w:t>
      </w:r>
      <w:r w:rsidR="0002563E" w:rsidRPr="003129E1">
        <w:t xml:space="preserve">insulting a public </w:t>
      </w:r>
      <w:r w:rsidR="00F865B5" w:rsidRPr="003129E1">
        <w:t>official,</w:t>
      </w:r>
      <w:r w:rsidR="0002563E" w:rsidRPr="003129E1">
        <w:t xml:space="preserve"> and that </w:t>
      </w:r>
      <w:r w:rsidR="00B81C2C" w:rsidRPr="003129E1">
        <w:t xml:space="preserve">the </w:t>
      </w:r>
      <w:r w:rsidR="0002563E" w:rsidRPr="003129E1">
        <w:t xml:space="preserve">proceedings </w:t>
      </w:r>
      <w:r w:rsidR="00B81C2C" w:rsidRPr="003129E1">
        <w:t xml:space="preserve">had </w:t>
      </w:r>
      <w:r w:rsidR="0002563E" w:rsidRPr="003129E1">
        <w:t>ended with a plea agreement.</w:t>
      </w:r>
    </w:p>
    <w:bookmarkStart w:id="15" w:name="OBS_investigation"/>
    <w:p w:rsidR="009E7C75" w:rsidRPr="003129E1" w:rsidRDefault="0092268F" w:rsidP="003129E1">
      <w:pPr>
        <w:pStyle w:val="ECHRPara"/>
        <w:rPr>
          <w:rFonts w:eastAsia="Times New Roman"/>
        </w:rPr>
      </w:pPr>
      <w:r w:rsidRPr="003129E1">
        <w:rPr>
          <w:rFonts w:eastAsia="Times New Roman"/>
        </w:rPr>
        <w:fldChar w:fldCharType="begin"/>
      </w:r>
      <w:r w:rsidRPr="003129E1">
        <w:rPr>
          <w:rFonts w:eastAsia="Times New Roman"/>
        </w:rPr>
        <w:instrText xml:space="preserve"> SEQ level0 \*arabic </w:instrText>
      </w:r>
      <w:r w:rsidRPr="003129E1">
        <w:rPr>
          <w:rFonts w:eastAsia="Times New Roman"/>
        </w:rPr>
        <w:fldChar w:fldCharType="separate"/>
      </w:r>
      <w:r w:rsidR="003129E1" w:rsidRPr="003129E1">
        <w:rPr>
          <w:rFonts w:eastAsia="Times New Roman"/>
          <w:noProof/>
        </w:rPr>
        <w:t>44</w:t>
      </w:r>
      <w:r w:rsidRPr="003129E1">
        <w:rPr>
          <w:rFonts w:eastAsia="Times New Roman"/>
        </w:rPr>
        <w:fldChar w:fldCharType="end"/>
      </w:r>
      <w:bookmarkEnd w:id="15"/>
      <w:r w:rsidRPr="003129E1">
        <w:rPr>
          <w:rFonts w:eastAsia="Times New Roman"/>
        </w:rPr>
        <w:t>.  </w:t>
      </w:r>
      <w:r w:rsidR="00C76500" w:rsidRPr="003129E1">
        <w:rPr>
          <w:rFonts w:eastAsia="Times New Roman"/>
        </w:rPr>
        <w:t>The</w:t>
      </w:r>
      <w:r w:rsidR="009C439A" w:rsidRPr="003129E1">
        <w:rPr>
          <w:rFonts w:eastAsia="Times New Roman"/>
        </w:rPr>
        <w:t xml:space="preserve"> Government</w:t>
      </w:r>
      <w:r w:rsidR="00C76500" w:rsidRPr="003129E1">
        <w:rPr>
          <w:rFonts w:eastAsia="Times New Roman"/>
        </w:rPr>
        <w:t xml:space="preserve"> stressed that the</w:t>
      </w:r>
      <w:r w:rsidR="0046765A" w:rsidRPr="003129E1">
        <w:rPr>
          <w:rFonts w:eastAsia="Times New Roman"/>
        </w:rPr>
        <w:t xml:space="preserve"> domestic</w:t>
      </w:r>
      <w:r w:rsidR="00C76500" w:rsidRPr="003129E1">
        <w:rPr>
          <w:rFonts w:eastAsia="Times New Roman"/>
        </w:rPr>
        <w:t xml:space="preserve"> investigation</w:t>
      </w:r>
      <w:r w:rsidR="00C45D35" w:rsidRPr="003129E1">
        <w:rPr>
          <w:rFonts w:eastAsia="Times New Roman"/>
        </w:rPr>
        <w:t>, which had been carried out in an effective</w:t>
      </w:r>
      <w:r w:rsidR="00B838C3" w:rsidRPr="003129E1">
        <w:rPr>
          <w:rFonts w:eastAsia="Times New Roman"/>
        </w:rPr>
        <w:t xml:space="preserve"> and thorough</w:t>
      </w:r>
      <w:r w:rsidR="00C45D35" w:rsidRPr="003129E1">
        <w:rPr>
          <w:rFonts w:eastAsia="Times New Roman"/>
        </w:rPr>
        <w:t xml:space="preserve"> manner,</w:t>
      </w:r>
      <w:r w:rsidR="00C76500" w:rsidRPr="003129E1">
        <w:rPr>
          <w:rFonts w:eastAsia="Times New Roman"/>
        </w:rPr>
        <w:t xml:space="preserve"> had not established that the events</w:t>
      </w:r>
      <w:r w:rsidR="00196702" w:rsidRPr="003129E1">
        <w:rPr>
          <w:rFonts w:eastAsia="Times New Roman"/>
        </w:rPr>
        <w:t xml:space="preserve"> had</w:t>
      </w:r>
      <w:r w:rsidR="00C76500" w:rsidRPr="003129E1">
        <w:rPr>
          <w:rFonts w:eastAsia="Times New Roman"/>
        </w:rPr>
        <w:t xml:space="preserve"> occurred in the </w:t>
      </w:r>
      <w:r w:rsidR="00C45D35" w:rsidRPr="003129E1">
        <w:rPr>
          <w:rFonts w:eastAsia="Times New Roman"/>
        </w:rPr>
        <w:t>way</w:t>
      </w:r>
      <w:r w:rsidR="00C76500" w:rsidRPr="003129E1">
        <w:rPr>
          <w:rFonts w:eastAsia="Times New Roman"/>
        </w:rPr>
        <w:t xml:space="preserve"> described by the applicant</w:t>
      </w:r>
      <w:r w:rsidR="004611E2" w:rsidRPr="003129E1">
        <w:rPr>
          <w:rFonts w:eastAsia="Times New Roman"/>
        </w:rPr>
        <w:t>, thus casting doubt on her account</w:t>
      </w:r>
      <w:r w:rsidR="00E6675C" w:rsidRPr="003129E1">
        <w:rPr>
          <w:rFonts w:eastAsia="Times New Roman"/>
        </w:rPr>
        <w:t xml:space="preserve"> of </w:t>
      </w:r>
      <w:r w:rsidR="00B81C2C" w:rsidRPr="003129E1">
        <w:rPr>
          <w:rFonts w:eastAsia="Times New Roman"/>
        </w:rPr>
        <w:t>what had happened</w:t>
      </w:r>
      <w:r w:rsidR="00C76500" w:rsidRPr="003129E1">
        <w:rPr>
          <w:rFonts w:eastAsia="Times New Roman"/>
        </w:rPr>
        <w:t>. According to the Government, the information gathered from interviews with the individuals identified by the applicant</w:t>
      </w:r>
      <w:r w:rsidR="00C45D35" w:rsidRPr="003129E1">
        <w:rPr>
          <w:rFonts w:eastAsia="Times New Roman"/>
        </w:rPr>
        <w:t xml:space="preserve"> during the course of the investigation</w:t>
      </w:r>
      <w:r w:rsidR="00C76500" w:rsidRPr="003129E1">
        <w:rPr>
          <w:rFonts w:eastAsia="Times New Roman"/>
        </w:rPr>
        <w:t xml:space="preserve"> </w:t>
      </w:r>
      <w:r w:rsidR="00B81C2C" w:rsidRPr="003129E1">
        <w:rPr>
          <w:rFonts w:eastAsia="Times New Roman"/>
        </w:rPr>
        <w:t xml:space="preserve">had been </w:t>
      </w:r>
      <w:r w:rsidR="00C76500" w:rsidRPr="003129E1">
        <w:rPr>
          <w:rFonts w:eastAsia="Times New Roman"/>
        </w:rPr>
        <w:t xml:space="preserve">insufficient to confirm </w:t>
      </w:r>
      <w:r w:rsidR="00B81C2C" w:rsidRPr="003129E1">
        <w:rPr>
          <w:rFonts w:eastAsia="Times New Roman"/>
        </w:rPr>
        <w:t>her</w:t>
      </w:r>
      <w:r w:rsidR="00C76500" w:rsidRPr="003129E1">
        <w:rPr>
          <w:rFonts w:eastAsia="Times New Roman"/>
        </w:rPr>
        <w:t xml:space="preserve"> accusations against the </w:t>
      </w:r>
      <w:r w:rsidR="007923BE" w:rsidRPr="003129E1">
        <w:rPr>
          <w:rFonts w:eastAsia="Times New Roman"/>
        </w:rPr>
        <w:t>m</w:t>
      </w:r>
      <w:r w:rsidR="00C76500" w:rsidRPr="003129E1">
        <w:rPr>
          <w:rFonts w:eastAsia="Times New Roman"/>
        </w:rPr>
        <w:t>unicipal police officers</w:t>
      </w:r>
      <w:r w:rsidR="00F8027C" w:rsidRPr="003129E1">
        <w:rPr>
          <w:rFonts w:eastAsia="Times New Roman"/>
        </w:rPr>
        <w:t xml:space="preserve">, as </w:t>
      </w:r>
      <w:r w:rsidR="005A3CFA" w:rsidRPr="003129E1">
        <w:rPr>
          <w:rFonts w:eastAsia="Times New Roman"/>
        </w:rPr>
        <w:t>confirmed</w:t>
      </w:r>
      <w:r w:rsidR="00F8027C" w:rsidRPr="003129E1">
        <w:rPr>
          <w:rFonts w:eastAsia="Times New Roman"/>
        </w:rPr>
        <w:t xml:space="preserve"> by the </w:t>
      </w:r>
      <w:r w:rsidR="00B81C2C" w:rsidRPr="003129E1">
        <w:rPr>
          <w:rFonts w:eastAsia="Times New Roman"/>
        </w:rPr>
        <w:t>investigating judge</w:t>
      </w:r>
      <w:r w:rsidR="003129E1" w:rsidRPr="003129E1">
        <w:rPr>
          <w:rFonts w:eastAsia="Times New Roman"/>
        </w:rPr>
        <w:t>’</w:t>
      </w:r>
      <w:r w:rsidR="00B81C2C" w:rsidRPr="003129E1">
        <w:rPr>
          <w:rFonts w:eastAsia="Times New Roman"/>
        </w:rPr>
        <w:t xml:space="preserve">s </w:t>
      </w:r>
      <w:r w:rsidR="00524931" w:rsidRPr="003129E1">
        <w:rPr>
          <w:rFonts w:eastAsia="Times New Roman"/>
        </w:rPr>
        <w:t>decision to discontinue the proceedings</w:t>
      </w:r>
      <w:r w:rsidR="00C76500" w:rsidRPr="003129E1">
        <w:rPr>
          <w:rFonts w:eastAsia="Times New Roman"/>
        </w:rPr>
        <w:t xml:space="preserve">. Even if the witnesses </w:t>
      </w:r>
      <w:r w:rsidR="00B81C2C" w:rsidRPr="003129E1">
        <w:rPr>
          <w:rFonts w:eastAsia="Times New Roman"/>
        </w:rPr>
        <w:t xml:space="preserve">had </w:t>
      </w:r>
      <w:r w:rsidR="00C76500" w:rsidRPr="003129E1">
        <w:rPr>
          <w:rFonts w:eastAsia="Times New Roman"/>
        </w:rPr>
        <w:t>confirm</w:t>
      </w:r>
      <w:r w:rsidR="00B81C2C" w:rsidRPr="003129E1">
        <w:rPr>
          <w:rFonts w:eastAsia="Times New Roman"/>
        </w:rPr>
        <w:t>ed</w:t>
      </w:r>
      <w:r w:rsidR="00C76500" w:rsidRPr="003129E1">
        <w:rPr>
          <w:rFonts w:eastAsia="Times New Roman"/>
        </w:rPr>
        <w:t xml:space="preserve"> certain facts described by the applicant, </w:t>
      </w:r>
      <w:r w:rsidR="0046692F" w:rsidRPr="003129E1">
        <w:rPr>
          <w:rFonts w:eastAsia="Times New Roman"/>
        </w:rPr>
        <w:t>her</w:t>
      </w:r>
      <w:r w:rsidR="00C76500" w:rsidRPr="003129E1">
        <w:rPr>
          <w:rFonts w:eastAsia="Times New Roman"/>
        </w:rPr>
        <w:t xml:space="preserve"> account </w:t>
      </w:r>
      <w:r w:rsidR="00B81C2C" w:rsidRPr="003129E1">
        <w:rPr>
          <w:rFonts w:eastAsia="Times New Roman"/>
        </w:rPr>
        <w:t xml:space="preserve">had not been </w:t>
      </w:r>
      <w:r w:rsidR="00C76500" w:rsidRPr="003129E1">
        <w:rPr>
          <w:rFonts w:eastAsia="Times New Roman"/>
        </w:rPr>
        <w:t>corroborated</w:t>
      </w:r>
      <w:r w:rsidR="00B81C2C" w:rsidRPr="003129E1">
        <w:rPr>
          <w:rFonts w:eastAsia="Times New Roman"/>
        </w:rPr>
        <w:t xml:space="preserve"> overall</w:t>
      </w:r>
      <w:r w:rsidR="00C76500" w:rsidRPr="003129E1">
        <w:rPr>
          <w:rFonts w:eastAsia="Times New Roman"/>
        </w:rPr>
        <w:t xml:space="preserve">, as the witness statements </w:t>
      </w:r>
      <w:r w:rsidR="00B81C2C" w:rsidRPr="003129E1">
        <w:rPr>
          <w:rFonts w:eastAsia="Times New Roman"/>
        </w:rPr>
        <w:t xml:space="preserve">had </w:t>
      </w:r>
      <w:r w:rsidR="00C76500" w:rsidRPr="003129E1">
        <w:rPr>
          <w:rFonts w:eastAsia="Times New Roman"/>
        </w:rPr>
        <w:t>referred to</w:t>
      </w:r>
      <w:r w:rsidR="005F6591" w:rsidRPr="003129E1">
        <w:rPr>
          <w:rFonts w:eastAsia="Times New Roman"/>
        </w:rPr>
        <w:t xml:space="preserve"> ancillary matters</w:t>
      </w:r>
      <w:r w:rsidR="00C76500" w:rsidRPr="003129E1">
        <w:rPr>
          <w:rFonts w:eastAsia="Times New Roman"/>
        </w:rPr>
        <w:t>.</w:t>
      </w:r>
      <w:r w:rsidR="00A21143" w:rsidRPr="003129E1">
        <w:rPr>
          <w:rFonts w:eastAsia="Times New Roman"/>
        </w:rPr>
        <w:t> </w:t>
      </w:r>
      <w:r w:rsidR="00C76500" w:rsidRPr="003129E1">
        <w:rPr>
          <w:rFonts w:eastAsia="Times New Roman"/>
        </w:rPr>
        <w:t xml:space="preserve">The Government </w:t>
      </w:r>
      <w:r w:rsidR="004C0916" w:rsidRPr="003129E1">
        <w:rPr>
          <w:rFonts w:eastAsia="Times New Roman"/>
        </w:rPr>
        <w:t>also highlighted the</w:t>
      </w:r>
      <w:r w:rsidR="00C76500" w:rsidRPr="003129E1">
        <w:rPr>
          <w:rFonts w:eastAsia="Times New Roman"/>
        </w:rPr>
        <w:t xml:space="preserve"> coherence of the police officers</w:t>
      </w:r>
      <w:r w:rsidR="003129E1" w:rsidRPr="003129E1">
        <w:rPr>
          <w:rFonts w:eastAsia="Times New Roman"/>
        </w:rPr>
        <w:t>’</w:t>
      </w:r>
      <w:r w:rsidR="00C76500" w:rsidRPr="003129E1">
        <w:rPr>
          <w:rFonts w:eastAsia="Times New Roman"/>
        </w:rPr>
        <w:t xml:space="preserve"> account as opposed to the</w:t>
      </w:r>
      <w:r w:rsidR="004C0916" w:rsidRPr="003129E1">
        <w:rPr>
          <w:rFonts w:eastAsia="Times New Roman"/>
        </w:rPr>
        <w:t xml:space="preserve"> inconsistencies characterising</w:t>
      </w:r>
      <w:r w:rsidR="00C76500" w:rsidRPr="003129E1">
        <w:rPr>
          <w:rFonts w:eastAsia="Times New Roman"/>
        </w:rPr>
        <w:t xml:space="preserve"> the applicant</w:t>
      </w:r>
      <w:r w:rsidR="003129E1" w:rsidRPr="003129E1">
        <w:rPr>
          <w:rFonts w:eastAsia="Times New Roman"/>
        </w:rPr>
        <w:t>’</w:t>
      </w:r>
      <w:r w:rsidR="00C76500" w:rsidRPr="003129E1">
        <w:rPr>
          <w:rFonts w:eastAsia="Times New Roman"/>
        </w:rPr>
        <w:t xml:space="preserve">s account. </w:t>
      </w:r>
      <w:r w:rsidR="00F30533" w:rsidRPr="003129E1">
        <w:rPr>
          <w:rFonts w:eastAsia="Times New Roman"/>
        </w:rPr>
        <w:t>In th</w:t>
      </w:r>
      <w:r w:rsidR="00CE47D1" w:rsidRPr="003129E1">
        <w:rPr>
          <w:rFonts w:eastAsia="Times New Roman"/>
        </w:rPr>
        <w:t xml:space="preserve">at </w:t>
      </w:r>
      <w:r w:rsidR="00F30533" w:rsidRPr="003129E1">
        <w:rPr>
          <w:rFonts w:eastAsia="Times New Roman"/>
        </w:rPr>
        <w:t>re</w:t>
      </w:r>
      <w:r w:rsidR="00CE47D1" w:rsidRPr="003129E1">
        <w:rPr>
          <w:rFonts w:eastAsia="Times New Roman"/>
        </w:rPr>
        <w:t xml:space="preserve">gard, </w:t>
      </w:r>
      <w:r w:rsidR="00F30533" w:rsidRPr="003129E1">
        <w:rPr>
          <w:rFonts w:eastAsia="Times New Roman"/>
        </w:rPr>
        <w:t xml:space="preserve">they pointed out that </w:t>
      </w:r>
      <w:r w:rsidR="00CE47D1" w:rsidRPr="003129E1">
        <w:rPr>
          <w:rFonts w:eastAsia="Times New Roman"/>
        </w:rPr>
        <w:t xml:space="preserve">the police reports had provided a plausible explanation for </w:t>
      </w:r>
      <w:r w:rsidR="0080367E" w:rsidRPr="003129E1">
        <w:rPr>
          <w:rFonts w:eastAsia="Times New Roman"/>
        </w:rPr>
        <w:t>the</w:t>
      </w:r>
      <w:r w:rsidR="00C76500" w:rsidRPr="003129E1">
        <w:rPr>
          <w:rFonts w:eastAsia="Times New Roman"/>
        </w:rPr>
        <w:t xml:space="preserve"> injuries sustained by the applicant, </w:t>
      </w:r>
      <w:r w:rsidR="00667370" w:rsidRPr="003129E1">
        <w:rPr>
          <w:rFonts w:eastAsia="Times New Roman"/>
        </w:rPr>
        <w:t>whereas</w:t>
      </w:r>
      <w:r w:rsidR="00C76500" w:rsidRPr="003129E1">
        <w:rPr>
          <w:rFonts w:eastAsia="Times New Roman"/>
        </w:rPr>
        <w:t xml:space="preserve"> the </w:t>
      </w:r>
      <w:r w:rsidR="00CE47D1" w:rsidRPr="003129E1">
        <w:rPr>
          <w:rFonts w:eastAsia="Times New Roman"/>
        </w:rPr>
        <w:t>applicant</w:t>
      </w:r>
      <w:r w:rsidR="003129E1" w:rsidRPr="003129E1">
        <w:rPr>
          <w:rFonts w:eastAsia="Times New Roman"/>
        </w:rPr>
        <w:t>’</w:t>
      </w:r>
      <w:r w:rsidR="00CE47D1" w:rsidRPr="003129E1">
        <w:rPr>
          <w:rFonts w:eastAsia="Times New Roman"/>
        </w:rPr>
        <w:t xml:space="preserve">s account had not explained the </w:t>
      </w:r>
      <w:r w:rsidR="00C76500" w:rsidRPr="003129E1">
        <w:rPr>
          <w:rFonts w:eastAsia="Times New Roman"/>
        </w:rPr>
        <w:t>police officer</w:t>
      </w:r>
      <w:r w:rsidR="003129E1" w:rsidRPr="003129E1">
        <w:rPr>
          <w:rFonts w:eastAsia="Times New Roman"/>
        </w:rPr>
        <w:t>’</w:t>
      </w:r>
      <w:r w:rsidR="00C76500" w:rsidRPr="003129E1">
        <w:rPr>
          <w:rFonts w:eastAsia="Times New Roman"/>
        </w:rPr>
        <w:t xml:space="preserve">s injuries </w:t>
      </w:r>
      <w:r w:rsidR="00CE47D1" w:rsidRPr="003129E1">
        <w:rPr>
          <w:rFonts w:eastAsia="Times New Roman"/>
        </w:rPr>
        <w:t>and was</w:t>
      </w:r>
      <w:r w:rsidR="00E5139F" w:rsidRPr="003129E1">
        <w:rPr>
          <w:rFonts w:eastAsia="Times New Roman"/>
        </w:rPr>
        <w:t>, in their view,</w:t>
      </w:r>
      <w:r w:rsidR="00667370" w:rsidRPr="003129E1">
        <w:rPr>
          <w:rFonts w:eastAsia="Times New Roman"/>
        </w:rPr>
        <w:t xml:space="preserve"> riddled </w:t>
      </w:r>
      <w:r w:rsidR="00CE47D1" w:rsidRPr="003129E1">
        <w:rPr>
          <w:rFonts w:eastAsia="Times New Roman"/>
        </w:rPr>
        <w:t xml:space="preserve">with </w:t>
      </w:r>
      <w:r w:rsidR="00667370" w:rsidRPr="003129E1">
        <w:rPr>
          <w:rFonts w:eastAsia="Times New Roman"/>
        </w:rPr>
        <w:t>lacunae</w:t>
      </w:r>
      <w:r w:rsidR="00FA7B8C" w:rsidRPr="003129E1">
        <w:rPr>
          <w:rFonts w:eastAsia="Times New Roman"/>
        </w:rPr>
        <w:t xml:space="preserve"> and contradictions</w:t>
      </w:r>
      <w:r w:rsidR="00C76500" w:rsidRPr="003129E1">
        <w:rPr>
          <w:rFonts w:eastAsia="Times New Roman"/>
        </w:rPr>
        <w:t>.</w:t>
      </w:r>
    </w:p>
    <w:p w:rsidR="009E7C75" w:rsidRPr="003129E1" w:rsidRDefault="00785D5D" w:rsidP="003129E1">
      <w:pPr>
        <w:pStyle w:val="ECHRPara"/>
        <w:rPr>
          <w:rFonts w:eastAsia="Times New Roman"/>
        </w:rPr>
      </w:pPr>
      <w:r w:rsidRPr="003129E1">
        <w:rPr>
          <w:rFonts w:eastAsia="Times New Roman"/>
        </w:rPr>
        <w:fldChar w:fldCharType="begin"/>
      </w:r>
      <w:r w:rsidRPr="003129E1">
        <w:rPr>
          <w:rFonts w:eastAsia="Times New Roman"/>
        </w:rPr>
        <w:instrText xml:space="preserve"> SEQ level0 \*arabic </w:instrText>
      </w:r>
      <w:r w:rsidRPr="003129E1">
        <w:rPr>
          <w:rFonts w:eastAsia="Times New Roman"/>
        </w:rPr>
        <w:fldChar w:fldCharType="separate"/>
      </w:r>
      <w:r w:rsidR="003129E1" w:rsidRPr="003129E1">
        <w:rPr>
          <w:rFonts w:eastAsia="Times New Roman"/>
          <w:noProof/>
        </w:rPr>
        <w:t>45</w:t>
      </w:r>
      <w:r w:rsidRPr="003129E1">
        <w:rPr>
          <w:rFonts w:eastAsia="Times New Roman"/>
        </w:rPr>
        <w:fldChar w:fldCharType="end"/>
      </w:r>
      <w:r w:rsidRPr="003129E1">
        <w:rPr>
          <w:rFonts w:eastAsia="Times New Roman"/>
        </w:rPr>
        <w:t>.  </w:t>
      </w:r>
      <w:r w:rsidR="00816D3D" w:rsidRPr="003129E1">
        <w:rPr>
          <w:rFonts w:eastAsia="Times New Roman"/>
        </w:rPr>
        <w:t xml:space="preserve">In the circumstances of the present case, </w:t>
      </w:r>
      <w:r w:rsidRPr="003129E1">
        <w:rPr>
          <w:rFonts w:eastAsia="Times New Roman"/>
        </w:rPr>
        <w:t>before examining the Government</w:t>
      </w:r>
      <w:r w:rsidR="003129E1" w:rsidRPr="003129E1">
        <w:rPr>
          <w:rFonts w:eastAsia="Times New Roman"/>
        </w:rPr>
        <w:t>’</w:t>
      </w:r>
      <w:r w:rsidRPr="003129E1">
        <w:rPr>
          <w:rFonts w:eastAsia="Times New Roman"/>
        </w:rPr>
        <w:t>s submissions,</w:t>
      </w:r>
      <w:r w:rsidR="009C6085" w:rsidRPr="003129E1">
        <w:rPr>
          <w:rFonts w:eastAsia="Times New Roman"/>
        </w:rPr>
        <w:t xml:space="preserve"> the Court wishes to reiterate that persons who are held in police custody or are even simply taken or summoned to a police station for an identity check or questioning, and more broadly all persons under the control of the police or a similar authority, are in a situation of vulnerability and the authorities are consequently under a duty to protect them (see </w:t>
      </w:r>
      <w:r w:rsidR="009C6085" w:rsidRPr="003129E1">
        <w:rPr>
          <w:rFonts w:eastAsia="Times New Roman"/>
          <w:i/>
        </w:rPr>
        <w:t>Bouyid</w:t>
      </w:r>
      <w:r w:rsidR="00D56083" w:rsidRPr="003129E1">
        <w:rPr>
          <w:rFonts w:eastAsia="Times New Roman"/>
        </w:rPr>
        <w:t>, cited above,</w:t>
      </w:r>
      <w:r w:rsidR="009C6085" w:rsidRPr="003129E1">
        <w:rPr>
          <w:rFonts w:eastAsia="Times New Roman"/>
        </w:rPr>
        <w:t xml:space="preserve"> § 107). In th</w:t>
      </w:r>
      <w:r w:rsidR="00D56083" w:rsidRPr="003129E1">
        <w:rPr>
          <w:rFonts w:eastAsia="Times New Roman"/>
        </w:rPr>
        <w:t>at</w:t>
      </w:r>
      <w:r w:rsidR="009C6085" w:rsidRPr="003129E1">
        <w:rPr>
          <w:rFonts w:eastAsia="Times New Roman"/>
        </w:rPr>
        <w:t xml:space="preserve"> re</w:t>
      </w:r>
      <w:r w:rsidR="00D56083" w:rsidRPr="003129E1">
        <w:rPr>
          <w:rFonts w:eastAsia="Times New Roman"/>
        </w:rPr>
        <w:t>gard</w:t>
      </w:r>
      <w:r w:rsidR="009C6085" w:rsidRPr="003129E1">
        <w:rPr>
          <w:rFonts w:eastAsia="Times New Roman"/>
        </w:rPr>
        <w:t xml:space="preserve">, the Court </w:t>
      </w:r>
      <w:r w:rsidR="00C629F3" w:rsidRPr="003129E1">
        <w:rPr>
          <w:rFonts w:eastAsia="Times New Roman"/>
        </w:rPr>
        <w:t xml:space="preserve">recalls </w:t>
      </w:r>
      <w:r w:rsidR="009C6085" w:rsidRPr="003129E1">
        <w:rPr>
          <w:rFonts w:eastAsia="Times New Roman"/>
        </w:rPr>
        <w:t xml:space="preserve">that Article 3 of the Convention establishes, </w:t>
      </w:r>
      <w:r w:rsidR="00D56083" w:rsidRPr="003129E1">
        <w:rPr>
          <w:rFonts w:eastAsia="Times New Roman"/>
        </w:rPr>
        <w:t>as does</w:t>
      </w:r>
      <w:r w:rsidR="009C6085" w:rsidRPr="003129E1">
        <w:rPr>
          <w:rFonts w:eastAsia="Times New Roman"/>
        </w:rPr>
        <w:t xml:space="preserve"> Article 2, a positive obligation on the State to train its law</w:t>
      </w:r>
      <w:r w:rsidR="00D56083" w:rsidRPr="003129E1">
        <w:rPr>
          <w:rFonts w:eastAsia="Times New Roman"/>
        </w:rPr>
        <w:t>-</w:t>
      </w:r>
      <w:r w:rsidR="009C6085" w:rsidRPr="003129E1">
        <w:rPr>
          <w:rFonts w:eastAsia="Times New Roman"/>
        </w:rPr>
        <w:t xml:space="preserve">enforcement officials in such a manner as to ensure </w:t>
      </w:r>
      <w:r w:rsidR="00D56083" w:rsidRPr="003129E1">
        <w:rPr>
          <w:rFonts w:eastAsia="Times New Roman"/>
        </w:rPr>
        <w:t>a</w:t>
      </w:r>
      <w:r w:rsidR="009C6085" w:rsidRPr="003129E1">
        <w:rPr>
          <w:rFonts w:eastAsia="Times New Roman"/>
        </w:rPr>
        <w:t xml:space="preserve"> high level of competence in their professional conduct so that no</w:t>
      </w:r>
      <w:r w:rsidR="00D56083" w:rsidRPr="003129E1">
        <w:rPr>
          <w:rFonts w:eastAsia="Times New Roman"/>
        </w:rPr>
        <w:t xml:space="preserve"> </w:t>
      </w:r>
      <w:r w:rsidR="009C6085" w:rsidRPr="003129E1">
        <w:rPr>
          <w:rFonts w:eastAsia="Times New Roman"/>
        </w:rPr>
        <w:t xml:space="preserve">one is subjected to treatment that runs contrary to that provision (see </w:t>
      </w:r>
      <w:r w:rsidR="009C6085" w:rsidRPr="003129E1">
        <w:rPr>
          <w:rFonts w:eastAsia="Times New Roman"/>
          <w:i/>
        </w:rPr>
        <w:t>Bouyid</w:t>
      </w:r>
      <w:r w:rsidR="009C6085" w:rsidRPr="003129E1">
        <w:rPr>
          <w:rFonts w:eastAsia="Times New Roman"/>
        </w:rPr>
        <w:t>, cited above, § 108).</w:t>
      </w:r>
    </w:p>
    <w:p w:rsidR="00347818" w:rsidRPr="003129E1" w:rsidRDefault="006B0B16" w:rsidP="003129E1">
      <w:pPr>
        <w:pStyle w:val="ECHRPara"/>
        <w:rPr>
          <w:rFonts w:eastAsia="Times New Roman"/>
        </w:rPr>
      </w:pPr>
      <w:r w:rsidRPr="003129E1">
        <w:rPr>
          <w:rFonts w:eastAsia="Times New Roman"/>
        </w:rPr>
        <w:fldChar w:fldCharType="begin"/>
      </w:r>
      <w:r w:rsidRPr="003129E1">
        <w:rPr>
          <w:rFonts w:eastAsia="Times New Roman"/>
        </w:rPr>
        <w:instrText xml:space="preserve"> SEQ level0 \*arabic </w:instrText>
      </w:r>
      <w:r w:rsidRPr="003129E1">
        <w:rPr>
          <w:rFonts w:eastAsia="Times New Roman"/>
        </w:rPr>
        <w:fldChar w:fldCharType="separate"/>
      </w:r>
      <w:r w:rsidR="003129E1" w:rsidRPr="003129E1">
        <w:rPr>
          <w:rFonts w:eastAsia="Times New Roman"/>
          <w:noProof/>
        </w:rPr>
        <w:t>46</w:t>
      </w:r>
      <w:r w:rsidRPr="003129E1">
        <w:rPr>
          <w:rFonts w:eastAsia="Times New Roman"/>
        </w:rPr>
        <w:fldChar w:fldCharType="end"/>
      </w:r>
      <w:r w:rsidRPr="003129E1">
        <w:rPr>
          <w:rFonts w:eastAsia="Times New Roman"/>
        </w:rPr>
        <w:t>.  </w:t>
      </w:r>
      <w:r w:rsidR="00C4663C" w:rsidRPr="003129E1">
        <w:rPr>
          <w:rFonts w:eastAsia="Times New Roman"/>
        </w:rPr>
        <w:t>Turning to</w:t>
      </w:r>
      <w:r w:rsidR="004836F4" w:rsidRPr="003129E1">
        <w:rPr>
          <w:rFonts w:eastAsia="Times New Roman"/>
        </w:rPr>
        <w:t xml:space="preserve"> the </w:t>
      </w:r>
      <w:r w:rsidR="00866258" w:rsidRPr="003129E1">
        <w:rPr>
          <w:rFonts w:eastAsia="Times New Roman"/>
        </w:rPr>
        <w:t>arguments put forward by the Government</w:t>
      </w:r>
      <w:r w:rsidR="009B3EEB" w:rsidRPr="003129E1">
        <w:rPr>
          <w:rFonts w:eastAsia="Times New Roman"/>
        </w:rPr>
        <w:t>,</w:t>
      </w:r>
      <w:r w:rsidR="005A7C2D" w:rsidRPr="003129E1">
        <w:rPr>
          <w:rFonts w:eastAsia="Times New Roman"/>
        </w:rPr>
        <w:t xml:space="preserve"> the Court notes that </w:t>
      </w:r>
      <w:r w:rsidR="00313C94" w:rsidRPr="003129E1">
        <w:rPr>
          <w:rFonts w:eastAsia="Times New Roman"/>
        </w:rPr>
        <w:t>they hinge on</w:t>
      </w:r>
      <w:r w:rsidR="007A2D28" w:rsidRPr="003129E1">
        <w:rPr>
          <w:rFonts w:eastAsia="Times New Roman"/>
        </w:rPr>
        <w:t xml:space="preserve"> a</w:t>
      </w:r>
      <w:r w:rsidR="00A058DE" w:rsidRPr="003129E1">
        <w:rPr>
          <w:rFonts w:eastAsia="Times New Roman"/>
        </w:rPr>
        <w:t xml:space="preserve"> </w:t>
      </w:r>
      <w:r w:rsidR="00175399" w:rsidRPr="003129E1">
        <w:rPr>
          <w:rFonts w:eastAsia="Times New Roman"/>
        </w:rPr>
        <w:t xml:space="preserve">general </w:t>
      </w:r>
      <w:r w:rsidR="00641BF8" w:rsidRPr="003129E1">
        <w:rPr>
          <w:rFonts w:eastAsia="Times New Roman"/>
        </w:rPr>
        <w:t>reliance on the applicant</w:t>
      </w:r>
      <w:r w:rsidR="003129E1" w:rsidRPr="003129E1">
        <w:rPr>
          <w:rFonts w:eastAsia="Times New Roman"/>
        </w:rPr>
        <w:t>’</w:t>
      </w:r>
      <w:r w:rsidR="00641BF8" w:rsidRPr="003129E1">
        <w:rPr>
          <w:rFonts w:eastAsia="Times New Roman"/>
        </w:rPr>
        <w:t>s agitated</w:t>
      </w:r>
      <w:r w:rsidR="00B4214D" w:rsidRPr="003129E1">
        <w:rPr>
          <w:rFonts w:eastAsia="Times New Roman"/>
        </w:rPr>
        <w:t xml:space="preserve"> </w:t>
      </w:r>
      <w:r w:rsidR="00641BF8" w:rsidRPr="003129E1">
        <w:rPr>
          <w:rFonts w:eastAsia="Times New Roman"/>
        </w:rPr>
        <w:t>state</w:t>
      </w:r>
      <w:r w:rsidR="00D71870" w:rsidRPr="003129E1">
        <w:rPr>
          <w:rFonts w:eastAsia="Times New Roman"/>
        </w:rPr>
        <w:t xml:space="preserve"> and</w:t>
      </w:r>
      <w:r w:rsidR="00CE349A" w:rsidRPr="003129E1">
        <w:rPr>
          <w:rFonts w:eastAsia="Times New Roman"/>
        </w:rPr>
        <w:t xml:space="preserve"> </w:t>
      </w:r>
      <w:r w:rsidR="00A058DE" w:rsidRPr="003129E1">
        <w:rPr>
          <w:rFonts w:eastAsia="Times New Roman"/>
        </w:rPr>
        <w:t xml:space="preserve">general </w:t>
      </w:r>
      <w:r w:rsidR="00FE15EA" w:rsidRPr="003129E1">
        <w:rPr>
          <w:rFonts w:eastAsia="Times New Roman"/>
        </w:rPr>
        <w:t xml:space="preserve">statements about the </w:t>
      </w:r>
      <w:r w:rsidR="005E0006" w:rsidRPr="003129E1">
        <w:rPr>
          <w:rFonts w:eastAsia="Times New Roman"/>
        </w:rPr>
        <w:t xml:space="preserve">need to use force </w:t>
      </w:r>
      <w:r w:rsidR="009B4215" w:rsidRPr="003129E1">
        <w:rPr>
          <w:rFonts w:eastAsia="Times New Roman"/>
        </w:rPr>
        <w:t xml:space="preserve">as a reaction to such </w:t>
      </w:r>
      <w:r w:rsidR="009B4215" w:rsidRPr="003129E1">
        <w:rPr>
          <w:rFonts w:eastAsia="Times New Roman"/>
        </w:rPr>
        <w:lastRenderedPageBreak/>
        <w:t>conduct</w:t>
      </w:r>
      <w:r w:rsidR="0048155F" w:rsidRPr="003129E1">
        <w:rPr>
          <w:rFonts w:eastAsia="Times New Roman"/>
        </w:rPr>
        <w:t xml:space="preserve">. </w:t>
      </w:r>
      <w:r w:rsidR="00416F7A" w:rsidRPr="003129E1">
        <w:rPr>
          <w:rFonts w:eastAsia="Times New Roman"/>
        </w:rPr>
        <w:t>T</w:t>
      </w:r>
      <w:r w:rsidR="00B37E2F" w:rsidRPr="003129E1">
        <w:rPr>
          <w:rFonts w:eastAsia="Times New Roman"/>
        </w:rPr>
        <w:t>he Government</w:t>
      </w:r>
      <w:r w:rsidR="007A0A81" w:rsidRPr="003129E1">
        <w:rPr>
          <w:rFonts w:eastAsia="Times New Roman"/>
        </w:rPr>
        <w:t xml:space="preserve"> </w:t>
      </w:r>
      <w:r w:rsidR="00E4033D" w:rsidRPr="003129E1">
        <w:rPr>
          <w:rFonts w:eastAsia="Times New Roman"/>
        </w:rPr>
        <w:t>have</w:t>
      </w:r>
      <w:r w:rsidR="00037044" w:rsidRPr="003129E1">
        <w:rPr>
          <w:rFonts w:eastAsia="Times New Roman"/>
        </w:rPr>
        <w:t xml:space="preserve"> not </w:t>
      </w:r>
      <w:r w:rsidR="00EB2F8D" w:rsidRPr="003129E1">
        <w:rPr>
          <w:rFonts w:eastAsia="Times New Roman"/>
        </w:rPr>
        <w:t>provide</w:t>
      </w:r>
      <w:r w:rsidR="000A566C" w:rsidRPr="003129E1">
        <w:rPr>
          <w:rFonts w:eastAsia="Times New Roman"/>
        </w:rPr>
        <w:t>d</w:t>
      </w:r>
      <w:r w:rsidR="00EB2F8D" w:rsidRPr="003129E1">
        <w:rPr>
          <w:rFonts w:eastAsia="Times New Roman"/>
        </w:rPr>
        <w:t xml:space="preserve"> specific </w:t>
      </w:r>
      <w:r w:rsidR="00D56083" w:rsidRPr="003129E1">
        <w:rPr>
          <w:rFonts w:eastAsia="Times New Roman"/>
        </w:rPr>
        <w:t xml:space="preserve">details about </w:t>
      </w:r>
      <w:r w:rsidR="00EB2F8D" w:rsidRPr="003129E1">
        <w:rPr>
          <w:rFonts w:eastAsia="Times New Roman"/>
        </w:rPr>
        <w:t>how the events at the</w:t>
      </w:r>
      <w:r w:rsidR="00CE349A" w:rsidRPr="003129E1">
        <w:rPr>
          <w:rFonts w:eastAsia="Times New Roman"/>
        </w:rPr>
        <w:t xml:space="preserve"> </w:t>
      </w:r>
      <w:r w:rsidR="007923BE" w:rsidRPr="003129E1">
        <w:rPr>
          <w:rFonts w:eastAsia="Times New Roman"/>
        </w:rPr>
        <w:t>m</w:t>
      </w:r>
      <w:r w:rsidR="00CE349A" w:rsidRPr="003129E1">
        <w:rPr>
          <w:rFonts w:eastAsia="Times New Roman"/>
        </w:rPr>
        <w:t>unicipal</w:t>
      </w:r>
      <w:r w:rsidR="00EB2F8D" w:rsidRPr="003129E1">
        <w:rPr>
          <w:rFonts w:eastAsia="Times New Roman"/>
        </w:rPr>
        <w:t xml:space="preserve"> </w:t>
      </w:r>
      <w:r w:rsidR="00D83A26" w:rsidRPr="003129E1">
        <w:rPr>
          <w:rFonts w:eastAsia="Times New Roman"/>
        </w:rPr>
        <w:t xml:space="preserve">police </w:t>
      </w:r>
      <w:r w:rsidR="00EB2F8D" w:rsidRPr="003129E1">
        <w:rPr>
          <w:rFonts w:eastAsia="Times New Roman"/>
        </w:rPr>
        <w:t xml:space="preserve">station </w:t>
      </w:r>
      <w:r w:rsidR="00D56083" w:rsidRPr="003129E1">
        <w:rPr>
          <w:rFonts w:eastAsia="Times New Roman"/>
        </w:rPr>
        <w:t>unfolded</w:t>
      </w:r>
      <w:r w:rsidR="00A8514F" w:rsidRPr="003129E1">
        <w:rPr>
          <w:rFonts w:eastAsia="Times New Roman"/>
        </w:rPr>
        <w:t>, but refer</w:t>
      </w:r>
      <w:r w:rsidR="00AB7249" w:rsidRPr="003129E1">
        <w:rPr>
          <w:rFonts w:eastAsia="Times New Roman"/>
        </w:rPr>
        <w:t>red</w:t>
      </w:r>
      <w:r w:rsidR="00A8514F" w:rsidRPr="003129E1">
        <w:rPr>
          <w:rFonts w:eastAsia="Times New Roman"/>
        </w:rPr>
        <w:t xml:space="preserve"> in general</w:t>
      </w:r>
      <w:r w:rsidR="007253B9" w:rsidRPr="003129E1">
        <w:rPr>
          <w:rFonts w:eastAsia="Times New Roman"/>
        </w:rPr>
        <w:t xml:space="preserve"> terms</w:t>
      </w:r>
      <w:r w:rsidR="00A8514F" w:rsidRPr="003129E1">
        <w:rPr>
          <w:rFonts w:eastAsia="Times New Roman"/>
        </w:rPr>
        <w:t xml:space="preserve"> to the account provided by the police officers</w:t>
      </w:r>
      <w:r w:rsidR="00FA597C" w:rsidRPr="003129E1">
        <w:rPr>
          <w:rFonts w:eastAsia="Times New Roman"/>
        </w:rPr>
        <w:t>,</w:t>
      </w:r>
      <w:r w:rsidR="00A8514F" w:rsidRPr="003129E1">
        <w:rPr>
          <w:rFonts w:eastAsia="Times New Roman"/>
        </w:rPr>
        <w:t xml:space="preserve"> which they </w:t>
      </w:r>
      <w:r w:rsidR="0063727E" w:rsidRPr="003129E1">
        <w:rPr>
          <w:rFonts w:eastAsia="Times New Roman"/>
        </w:rPr>
        <w:t>accepted as being</w:t>
      </w:r>
      <w:r w:rsidR="00A8514F" w:rsidRPr="003129E1">
        <w:rPr>
          <w:rFonts w:eastAsia="Times New Roman"/>
        </w:rPr>
        <w:t xml:space="preserve"> plausible and coherent.</w:t>
      </w:r>
      <w:r w:rsidR="00817C54" w:rsidRPr="003129E1">
        <w:rPr>
          <w:rFonts w:eastAsia="Times New Roman"/>
        </w:rPr>
        <w:t xml:space="preserve"> No</w:t>
      </w:r>
      <w:r w:rsidR="000869A3" w:rsidRPr="003129E1">
        <w:rPr>
          <w:rFonts w:eastAsia="Times New Roman"/>
        </w:rPr>
        <w:t xml:space="preserve"> </w:t>
      </w:r>
      <w:r w:rsidR="00862F2E" w:rsidRPr="003129E1">
        <w:rPr>
          <w:rFonts w:eastAsia="Times New Roman"/>
        </w:rPr>
        <w:t xml:space="preserve">concrete </w:t>
      </w:r>
      <w:r w:rsidR="000869A3" w:rsidRPr="003129E1">
        <w:rPr>
          <w:rFonts w:eastAsia="Times New Roman"/>
        </w:rPr>
        <w:t>attempt was made to explain</w:t>
      </w:r>
      <w:r w:rsidR="00C556A7" w:rsidRPr="003129E1">
        <w:rPr>
          <w:rFonts w:eastAsia="Times New Roman"/>
        </w:rPr>
        <w:t xml:space="preserve">, </w:t>
      </w:r>
      <w:r w:rsidR="00BA7232" w:rsidRPr="003129E1">
        <w:rPr>
          <w:rFonts w:eastAsia="Times New Roman"/>
        </w:rPr>
        <w:t>let alone substantiate</w:t>
      </w:r>
      <w:r w:rsidR="00AB7249" w:rsidRPr="003129E1">
        <w:rPr>
          <w:rFonts w:eastAsia="Times New Roman"/>
        </w:rPr>
        <w:t>,</w:t>
      </w:r>
      <w:r w:rsidR="007A0A81" w:rsidRPr="003129E1">
        <w:rPr>
          <w:rFonts w:eastAsia="Times New Roman"/>
        </w:rPr>
        <w:t xml:space="preserve"> </w:t>
      </w:r>
      <w:r w:rsidR="00C556A7" w:rsidRPr="003129E1">
        <w:rPr>
          <w:rFonts w:eastAsia="Times New Roman"/>
        </w:rPr>
        <w:t xml:space="preserve">what </w:t>
      </w:r>
      <w:r w:rsidR="007A0A81" w:rsidRPr="003129E1">
        <w:rPr>
          <w:rFonts w:eastAsia="Times New Roman"/>
        </w:rPr>
        <w:t>may have led to the fracture of the applicant</w:t>
      </w:r>
      <w:r w:rsidR="003129E1" w:rsidRPr="003129E1">
        <w:rPr>
          <w:rFonts w:eastAsia="Times New Roman"/>
        </w:rPr>
        <w:t>’</w:t>
      </w:r>
      <w:r w:rsidR="007A0A81" w:rsidRPr="003129E1">
        <w:rPr>
          <w:rFonts w:eastAsia="Times New Roman"/>
        </w:rPr>
        <w:t>s finger</w:t>
      </w:r>
      <w:r w:rsidR="00252E4D" w:rsidRPr="003129E1">
        <w:rPr>
          <w:rFonts w:eastAsia="Times New Roman"/>
        </w:rPr>
        <w:t xml:space="preserve">, despite </w:t>
      </w:r>
      <w:r w:rsidR="00B26A3D" w:rsidRPr="003129E1">
        <w:rPr>
          <w:rFonts w:eastAsia="Times New Roman"/>
        </w:rPr>
        <w:t>the Government</w:t>
      </w:r>
      <w:r w:rsidR="003129E1" w:rsidRPr="003129E1">
        <w:rPr>
          <w:rFonts w:eastAsia="Times New Roman"/>
        </w:rPr>
        <w:t>’</w:t>
      </w:r>
      <w:r w:rsidR="00B26A3D" w:rsidRPr="003129E1">
        <w:rPr>
          <w:rFonts w:eastAsia="Times New Roman"/>
        </w:rPr>
        <w:t>s</w:t>
      </w:r>
      <w:r w:rsidR="00252E4D" w:rsidRPr="003129E1">
        <w:rPr>
          <w:rFonts w:eastAsia="Times New Roman"/>
        </w:rPr>
        <w:t xml:space="preserve"> acknowledgement that </w:t>
      </w:r>
      <w:r w:rsidR="00D56083" w:rsidRPr="003129E1">
        <w:rPr>
          <w:rFonts w:eastAsia="Times New Roman"/>
        </w:rPr>
        <w:t xml:space="preserve">the </w:t>
      </w:r>
      <w:r w:rsidR="00252E4D" w:rsidRPr="003129E1">
        <w:rPr>
          <w:rFonts w:eastAsia="Times New Roman"/>
        </w:rPr>
        <w:t xml:space="preserve">injury had occurred as a consequence of </w:t>
      </w:r>
      <w:r w:rsidR="00D56083" w:rsidRPr="003129E1">
        <w:rPr>
          <w:rFonts w:eastAsia="Times New Roman"/>
        </w:rPr>
        <w:t xml:space="preserve">the </w:t>
      </w:r>
      <w:r w:rsidR="00252E4D" w:rsidRPr="003129E1">
        <w:rPr>
          <w:rFonts w:eastAsia="Times New Roman"/>
        </w:rPr>
        <w:t>use of force</w:t>
      </w:r>
      <w:r w:rsidR="0093625C" w:rsidRPr="003129E1">
        <w:rPr>
          <w:rFonts w:eastAsia="Times New Roman"/>
        </w:rPr>
        <w:t xml:space="preserve"> by the officers</w:t>
      </w:r>
      <w:r w:rsidR="00252E4D" w:rsidRPr="003129E1">
        <w:rPr>
          <w:rFonts w:eastAsia="Times New Roman"/>
        </w:rPr>
        <w:t xml:space="preserve"> on the applicant</w:t>
      </w:r>
      <w:r w:rsidR="00201BFE" w:rsidRPr="003129E1">
        <w:rPr>
          <w:rFonts w:eastAsia="Times New Roman"/>
        </w:rPr>
        <w:t>.</w:t>
      </w:r>
    </w:p>
    <w:bookmarkStart w:id="16" w:name="interconnection"/>
    <w:p w:rsidR="005D5582" w:rsidRPr="003129E1" w:rsidRDefault="00C15203" w:rsidP="003129E1">
      <w:pPr>
        <w:pStyle w:val="ECHRPara"/>
        <w:rPr>
          <w:rFonts w:eastAsia="Times New Roman"/>
        </w:rPr>
      </w:pPr>
      <w:r w:rsidRPr="003129E1">
        <w:rPr>
          <w:rFonts w:eastAsia="Times New Roman"/>
        </w:rPr>
        <w:fldChar w:fldCharType="begin"/>
      </w:r>
      <w:r w:rsidRPr="003129E1">
        <w:rPr>
          <w:rFonts w:eastAsia="Times New Roman"/>
        </w:rPr>
        <w:instrText xml:space="preserve"> SEQ level0 \*arabic </w:instrText>
      </w:r>
      <w:r w:rsidRPr="003129E1">
        <w:rPr>
          <w:rFonts w:eastAsia="Times New Roman"/>
        </w:rPr>
        <w:fldChar w:fldCharType="separate"/>
      </w:r>
      <w:r w:rsidR="003129E1" w:rsidRPr="003129E1">
        <w:rPr>
          <w:rFonts w:eastAsia="Times New Roman"/>
          <w:noProof/>
        </w:rPr>
        <w:t>47</w:t>
      </w:r>
      <w:r w:rsidRPr="003129E1">
        <w:rPr>
          <w:rFonts w:eastAsia="Times New Roman"/>
        </w:rPr>
        <w:fldChar w:fldCharType="end"/>
      </w:r>
      <w:bookmarkEnd w:id="16"/>
      <w:r w:rsidRPr="003129E1">
        <w:rPr>
          <w:rFonts w:eastAsia="Times New Roman"/>
        </w:rPr>
        <w:t>.  </w:t>
      </w:r>
      <w:r w:rsidR="00B45405" w:rsidRPr="003129E1">
        <w:rPr>
          <w:rFonts w:eastAsia="Times New Roman"/>
        </w:rPr>
        <w:t>Against this backdrop, t</w:t>
      </w:r>
      <w:r w:rsidR="001E5CD7" w:rsidRPr="003129E1">
        <w:rPr>
          <w:rFonts w:eastAsia="Times New Roman"/>
        </w:rPr>
        <w:t>he</w:t>
      </w:r>
      <w:r w:rsidR="00F50758" w:rsidRPr="003129E1">
        <w:rPr>
          <w:rFonts w:eastAsia="Times New Roman"/>
        </w:rPr>
        <w:t xml:space="preserve"> Court </w:t>
      </w:r>
      <w:r w:rsidR="00C557EB" w:rsidRPr="003129E1">
        <w:rPr>
          <w:rFonts w:eastAsia="Times New Roman"/>
        </w:rPr>
        <w:t>will</w:t>
      </w:r>
      <w:r w:rsidR="001E5CD7" w:rsidRPr="003129E1">
        <w:rPr>
          <w:rFonts w:eastAsia="Times New Roman"/>
        </w:rPr>
        <w:t xml:space="preserve"> next</w:t>
      </w:r>
      <w:r w:rsidR="00F50758" w:rsidRPr="003129E1">
        <w:rPr>
          <w:rFonts w:eastAsia="Times New Roman"/>
        </w:rPr>
        <w:t xml:space="preserve"> </w:t>
      </w:r>
      <w:r w:rsidR="001E5CD7" w:rsidRPr="003129E1">
        <w:rPr>
          <w:rFonts w:eastAsia="Times New Roman"/>
        </w:rPr>
        <w:t>examine</w:t>
      </w:r>
      <w:r w:rsidR="00E770F7" w:rsidRPr="003129E1">
        <w:rPr>
          <w:rFonts w:eastAsia="Times New Roman"/>
        </w:rPr>
        <w:t xml:space="preserve"> </w:t>
      </w:r>
      <w:r w:rsidR="00B960B9" w:rsidRPr="003129E1">
        <w:rPr>
          <w:rFonts w:eastAsia="Times New Roman"/>
        </w:rPr>
        <w:t>whether</w:t>
      </w:r>
      <w:r w:rsidR="00A36A7A" w:rsidRPr="003129E1">
        <w:rPr>
          <w:rFonts w:eastAsia="Times New Roman"/>
        </w:rPr>
        <w:t xml:space="preserve"> </w:t>
      </w:r>
      <w:r w:rsidR="00B157C4" w:rsidRPr="003129E1">
        <w:rPr>
          <w:rFonts w:eastAsia="Times New Roman"/>
        </w:rPr>
        <w:t xml:space="preserve">some </w:t>
      </w:r>
      <w:r w:rsidR="0093625C" w:rsidRPr="003129E1">
        <w:rPr>
          <w:rFonts w:eastAsia="Times New Roman"/>
        </w:rPr>
        <w:t>substantiation</w:t>
      </w:r>
      <w:r w:rsidR="004A6D64" w:rsidRPr="003129E1">
        <w:rPr>
          <w:rFonts w:eastAsia="Times New Roman"/>
        </w:rPr>
        <w:t xml:space="preserve"> of</w:t>
      </w:r>
      <w:r w:rsidR="007A197F" w:rsidRPr="003129E1">
        <w:rPr>
          <w:rFonts w:eastAsia="Times New Roman"/>
        </w:rPr>
        <w:t xml:space="preserve"> </w:t>
      </w:r>
      <w:r w:rsidR="004A6D64" w:rsidRPr="003129E1">
        <w:rPr>
          <w:rFonts w:eastAsia="Times New Roman"/>
        </w:rPr>
        <w:t>the Government</w:t>
      </w:r>
      <w:r w:rsidR="003129E1" w:rsidRPr="003129E1">
        <w:rPr>
          <w:rFonts w:eastAsia="Times New Roman"/>
        </w:rPr>
        <w:t>’</w:t>
      </w:r>
      <w:r w:rsidR="004A6D64" w:rsidRPr="003129E1">
        <w:rPr>
          <w:rFonts w:eastAsia="Times New Roman"/>
        </w:rPr>
        <w:t>s submissions emerges from</w:t>
      </w:r>
      <w:r w:rsidR="006D032F" w:rsidRPr="003129E1">
        <w:rPr>
          <w:rFonts w:eastAsia="Times New Roman"/>
        </w:rPr>
        <w:t xml:space="preserve"> the</w:t>
      </w:r>
      <w:r w:rsidR="00E770F7" w:rsidRPr="003129E1">
        <w:rPr>
          <w:rFonts w:eastAsia="Times New Roman"/>
        </w:rPr>
        <w:t xml:space="preserve"> domestic</w:t>
      </w:r>
      <w:r w:rsidR="007A197F" w:rsidRPr="003129E1">
        <w:rPr>
          <w:rFonts w:eastAsia="Times New Roman"/>
        </w:rPr>
        <w:t xml:space="preserve"> investigation</w:t>
      </w:r>
      <w:r w:rsidR="00C97B92" w:rsidRPr="003129E1">
        <w:rPr>
          <w:rFonts w:eastAsia="Times New Roman"/>
        </w:rPr>
        <w:t xml:space="preserve">. </w:t>
      </w:r>
      <w:r w:rsidR="00C143D0" w:rsidRPr="003129E1">
        <w:rPr>
          <w:rFonts w:eastAsia="Times New Roman"/>
        </w:rPr>
        <w:t>In th</w:t>
      </w:r>
      <w:r w:rsidR="00FE720D" w:rsidRPr="003129E1">
        <w:rPr>
          <w:rFonts w:eastAsia="Times New Roman"/>
        </w:rPr>
        <w:t>at</w:t>
      </w:r>
      <w:r w:rsidR="00C143D0" w:rsidRPr="003129E1">
        <w:rPr>
          <w:rFonts w:eastAsia="Times New Roman"/>
        </w:rPr>
        <w:t xml:space="preserve"> </w:t>
      </w:r>
      <w:r w:rsidR="00F35A2F" w:rsidRPr="003129E1">
        <w:rPr>
          <w:rFonts w:eastAsia="Times New Roman"/>
        </w:rPr>
        <w:t>connection</w:t>
      </w:r>
      <w:r w:rsidR="00C143D0" w:rsidRPr="003129E1">
        <w:rPr>
          <w:rFonts w:eastAsia="Times New Roman"/>
        </w:rPr>
        <w:t>,</w:t>
      </w:r>
      <w:r w:rsidR="00AF0D59" w:rsidRPr="003129E1">
        <w:rPr>
          <w:rFonts w:eastAsia="Times New Roman"/>
        </w:rPr>
        <w:t xml:space="preserve"> on the facts of the present case</w:t>
      </w:r>
      <w:r w:rsidR="00C143D0" w:rsidRPr="003129E1">
        <w:rPr>
          <w:rFonts w:eastAsia="Times New Roman"/>
        </w:rPr>
        <w:t xml:space="preserve"> the Court considers</w:t>
      </w:r>
      <w:r w:rsidR="00BC1D54" w:rsidRPr="003129E1">
        <w:rPr>
          <w:rFonts w:eastAsia="Times New Roman"/>
        </w:rPr>
        <w:t xml:space="preserve"> that</w:t>
      </w:r>
      <w:r w:rsidR="00161D86" w:rsidRPr="003129E1">
        <w:rPr>
          <w:rFonts w:eastAsia="Times New Roman"/>
        </w:rPr>
        <w:t xml:space="preserve"> </w:t>
      </w:r>
      <w:r w:rsidR="00816C74" w:rsidRPr="003129E1">
        <w:rPr>
          <w:rFonts w:eastAsia="Times New Roman"/>
        </w:rPr>
        <w:t xml:space="preserve">the provision of a satisfactory and convincing explanation as to the necessity of the use of force is </w:t>
      </w:r>
      <w:r w:rsidR="00836556" w:rsidRPr="003129E1">
        <w:rPr>
          <w:rFonts w:eastAsia="Times New Roman"/>
        </w:rPr>
        <w:t>closely</w:t>
      </w:r>
      <w:r w:rsidR="00816C74" w:rsidRPr="003129E1">
        <w:rPr>
          <w:rFonts w:eastAsia="Times New Roman"/>
        </w:rPr>
        <w:t xml:space="preserve"> </w:t>
      </w:r>
      <w:r w:rsidR="00481D88" w:rsidRPr="003129E1">
        <w:rPr>
          <w:rFonts w:eastAsia="Times New Roman"/>
        </w:rPr>
        <w:t>related</w:t>
      </w:r>
      <w:r w:rsidR="00816C74" w:rsidRPr="003129E1">
        <w:rPr>
          <w:rFonts w:eastAsia="Times New Roman"/>
        </w:rPr>
        <w:t xml:space="preserve"> to the question of whether the national authorities have conducted an effective investigation capable of establishing the circumstances and the nature of the force used (see, </w:t>
      </w:r>
      <w:r w:rsidR="00816C74" w:rsidRPr="003129E1">
        <w:rPr>
          <w:rFonts w:eastAsia="Times New Roman"/>
          <w:i/>
        </w:rPr>
        <w:t>mutatis mutandis</w:t>
      </w:r>
      <w:r w:rsidR="00816C74" w:rsidRPr="003129E1">
        <w:rPr>
          <w:rFonts w:eastAsia="Times New Roman"/>
        </w:rPr>
        <w:t xml:space="preserve">, </w:t>
      </w:r>
      <w:r w:rsidR="00816C74" w:rsidRPr="003129E1">
        <w:rPr>
          <w:rFonts w:eastAsia="Times New Roman"/>
          <w:i/>
        </w:rPr>
        <w:t>Mihhailov v. Estonia</w:t>
      </w:r>
      <w:r w:rsidR="00816C74" w:rsidRPr="003129E1">
        <w:rPr>
          <w:rFonts w:eastAsia="Times New Roman"/>
        </w:rPr>
        <w:t>, no. 64418/10, §</w:t>
      </w:r>
      <w:r w:rsidR="00C2118F" w:rsidRPr="003129E1">
        <w:rPr>
          <w:rFonts w:eastAsia="Times New Roman"/>
        </w:rPr>
        <w:t> </w:t>
      </w:r>
      <w:r w:rsidR="00A563D9" w:rsidRPr="003129E1">
        <w:rPr>
          <w:rFonts w:eastAsia="Times New Roman"/>
        </w:rPr>
        <w:t>112, 30 </w:t>
      </w:r>
      <w:r w:rsidR="00816C74" w:rsidRPr="003129E1">
        <w:rPr>
          <w:rFonts w:eastAsia="Times New Roman"/>
        </w:rPr>
        <w:t>August 2016</w:t>
      </w:r>
      <w:r w:rsidR="00FE720D" w:rsidRPr="003129E1">
        <w:rPr>
          <w:rFonts w:eastAsia="Times New Roman"/>
        </w:rPr>
        <w:t>;</w:t>
      </w:r>
      <w:r w:rsidR="00617A86" w:rsidRPr="003129E1">
        <w:rPr>
          <w:rFonts w:eastAsia="Times New Roman"/>
        </w:rPr>
        <w:t xml:space="preserve"> </w:t>
      </w:r>
      <w:r w:rsidR="00617A86" w:rsidRPr="003129E1">
        <w:rPr>
          <w:i/>
        </w:rPr>
        <w:t>Hilal Mammadov v. Azerbaijan</w:t>
      </w:r>
      <w:r w:rsidR="00617A86" w:rsidRPr="003129E1">
        <w:t>, no. 81553/12, §</w:t>
      </w:r>
      <w:r w:rsidR="00525865" w:rsidRPr="003129E1">
        <w:t> </w:t>
      </w:r>
      <w:r w:rsidR="00EB169C" w:rsidRPr="003129E1">
        <w:t>83</w:t>
      </w:r>
      <w:r w:rsidR="00617A86" w:rsidRPr="003129E1">
        <w:t>, 4</w:t>
      </w:r>
      <w:r w:rsidR="00815538" w:rsidRPr="003129E1">
        <w:t> </w:t>
      </w:r>
      <w:r w:rsidR="00617A86" w:rsidRPr="003129E1">
        <w:t>February 2016</w:t>
      </w:r>
      <w:r w:rsidR="00FE720D" w:rsidRPr="003129E1">
        <w:t>;</w:t>
      </w:r>
      <w:r w:rsidR="000075E5" w:rsidRPr="003129E1">
        <w:t xml:space="preserve"> </w:t>
      </w:r>
      <w:r w:rsidR="000075E5" w:rsidRPr="003129E1">
        <w:rPr>
          <w:i/>
        </w:rPr>
        <w:t>Balajevs v. Latvia</w:t>
      </w:r>
      <w:r w:rsidR="000075E5" w:rsidRPr="003129E1">
        <w:t>, no. 8347/07</w:t>
      </w:r>
      <w:r w:rsidR="000075E5" w:rsidRPr="003129E1">
        <w:rPr>
          <w:snapToGrid w:val="0"/>
        </w:rPr>
        <w:t>, § 95, 28 April 2016</w:t>
      </w:r>
      <w:r w:rsidR="00FE720D" w:rsidRPr="003129E1">
        <w:rPr>
          <w:snapToGrid w:val="0"/>
        </w:rPr>
        <w:t>;</w:t>
      </w:r>
      <w:r w:rsidR="00816C74" w:rsidRPr="003129E1">
        <w:rPr>
          <w:rFonts w:eastAsia="Times New Roman"/>
        </w:rPr>
        <w:t xml:space="preserve"> and </w:t>
      </w:r>
      <w:r w:rsidR="003129E1" w:rsidRPr="003129E1">
        <w:rPr>
          <w:rFonts w:eastAsia="Times New Roman"/>
          <w:i/>
        </w:rPr>
        <w:t>Cemal Yılmaz v. </w:t>
      </w:r>
      <w:r w:rsidR="00816C74" w:rsidRPr="003129E1">
        <w:rPr>
          <w:rFonts w:eastAsia="Times New Roman"/>
          <w:i/>
        </w:rPr>
        <w:t>Turkey</w:t>
      </w:r>
      <w:r w:rsidR="00816C74" w:rsidRPr="003129E1">
        <w:rPr>
          <w:rFonts w:eastAsia="Times New Roman"/>
        </w:rPr>
        <w:t>, no. 31298/05, § 32, 7</w:t>
      </w:r>
      <w:r w:rsidR="00995D2E" w:rsidRPr="003129E1">
        <w:rPr>
          <w:rFonts w:eastAsia="Times New Roman"/>
        </w:rPr>
        <w:t> </w:t>
      </w:r>
      <w:r w:rsidR="00816C74" w:rsidRPr="003129E1">
        <w:rPr>
          <w:rFonts w:eastAsia="Times New Roman"/>
        </w:rPr>
        <w:t>February 2012).</w:t>
      </w:r>
    </w:p>
    <w:p w:rsidR="00816C74" w:rsidRPr="003129E1" w:rsidRDefault="00816C74" w:rsidP="003129E1">
      <w:pPr>
        <w:pStyle w:val="ECHRPara"/>
        <w:rPr>
          <w:rFonts w:eastAsia="Times New Roman"/>
        </w:rPr>
      </w:pPr>
      <w:r w:rsidRPr="003129E1">
        <w:rPr>
          <w:rFonts w:eastAsia="Times New Roman"/>
        </w:rPr>
        <w:fldChar w:fldCharType="begin"/>
      </w:r>
      <w:r w:rsidRPr="003129E1">
        <w:rPr>
          <w:rFonts w:eastAsia="Times New Roman"/>
        </w:rPr>
        <w:instrText xml:space="preserve"> SEQ level0 \*arabic </w:instrText>
      </w:r>
      <w:r w:rsidRPr="003129E1">
        <w:rPr>
          <w:rFonts w:eastAsia="Times New Roman"/>
        </w:rPr>
        <w:fldChar w:fldCharType="separate"/>
      </w:r>
      <w:r w:rsidR="003129E1" w:rsidRPr="003129E1">
        <w:rPr>
          <w:rFonts w:eastAsia="Times New Roman"/>
          <w:noProof/>
        </w:rPr>
        <w:t>48</w:t>
      </w:r>
      <w:r w:rsidRPr="003129E1">
        <w:rPr>
          <w:rFonts w:eastAsia="Times New Roman"/>
        </w:rPr>
        <w:fldChar w:fldCharType="end"/>
      </w:r>
      <w:r w:rsidRPr="003129E1">
        <w:rPr>
          <w:rFonts w:eastAsia="Times New Roman"/>
        </w:rPr>
        <w:t>.  </w:t>
      </w:r>
      <w:r w:rsidR="0044598F" w:rsidRPr="003129E1">
        <w:rPr>
          <w:rFonts w:eastAsia="Times New Roman"/>
        </w:rPr>
        <w:t xml:space="preserve">The applicant contended that </w:t>
      </w:r>
      <w:r w:rsidR="00F534F2" w:rsidRPr="003129E1">
        <w:rPr>
          <w:rFonts w:eastAsia="Times New Roman"/>
        </w:rPr>
        <w:t xml:space="preserve">the investigation authorities had not made a serious attempt to find out what </w:t>
      </w:r>
      <w:r w:rsidR="00FE720D" w:rsidRPr="003129E1">
        <w:rPr>
          <w:rFonts w:eastAsia="Times New Roman"/>
        </w:rPr>
        <w:t xml:space="preserve">had </w:t>
      </w:r>
      <w:r w:rsidR="00F534F2" w:rsidRPr="003129E1">
        <w:rPr>
          <w:rFonts w:eastAsia="Times New Roman"/>
        </w:rPr>
        <w:t xml:space="preserve">happened </w:t>
      </w:r>
      <w:r w:rsidR="00C711AC" w:rsidRPr="003129E1">
        <w:rPr>
          <w:rFonts w:eastAsia="Times New Roman"/>
        </w:rPr>
        <w:t>in order to identify the origin of her injuries</w:t>
      </w:r>
      <w:r w:rsidR="00FE720D" w:rsidRPr="003129E1">
        <w:rPr>
          <w:rFonts w:eastAsia="Times New Roman"/>
        </w:rPr>
        <w:t xml:space="preserve"> and the persons responsible for them</w:t>
      </w:r>
      <w:r w:rsidR="00C711AC" w:rsidRPr="003129E1">
        <w:rPr>
          <w:rFonts w:eastAsia="Times New Roman"/>
        </w:rPr>
        <w:t xml:space="preserve">. </w:t>
      </w:r>
      <w:r w:rsidR="00D66076" w:rsidRPr="003129E1">
        <w:rPr>
          <w:rFonts w:eastAsia="Times New Roman"/>
        </w:rPr>
        <w:t>The Government submitted that the</w:t>
      </w:r>
      <w:r w:rsidR="004B572E" w:rsidRPr="003129E1">
        <w:rPr>
          <w:rFonts w:eastAsia="Times New Roman"/>
        </w:rPr>
        <w:t xml:space="preserve"> investigation had been conducted </w:t>
      </w:r>
      <w:r w:rsidR="00444290" w:rsidRPr="003129E1">
        <w:rPr>
          <w:rFonts w:eastAsia="Times New Roman"/>
        </w:rPr>
        <w:t xml:space="preserve">diligently, </w:t>
      </w:r>
      <w:r w:rsidR="00393E86" w:rsidRPr="003129E1">
        <w:rPr>
          <w:rFonts w:eastAsia="Times New Roman"/>
        </w:rPr>
        <w:t>independently, and in a thorough manner</w:t>
      </w:r>
      <w:r w:rsidR="00D66076" w:rsidRPr="003129E1">
        <w:rPr>
          <w:rFonts w:eastAsia="Times New Roman"/>
        </w:rPr>
        <w:t>.</w:t>
      </w:r>
    </w:p>
    <w:p w:rsidR="00B84335" w:rsidRPr="003129E1" w:rsidRDefault="00B84335" w:rsidP="003129E1">
      <w:pPr>
        <w:pStyle w:val="ECHRPara"/>
        <w:rPr>
          <w:i/>
          <w:iCs/>
        </w:rPr>
      </w:pPr>
      <w:r w:rsidRPr="003129E1">
        <w:rPr>
          <w:rFonts w:eastAsia="Times New Roman"/>
        </w:rPr>
        <w:fldChar w:fldCharType="begin"/>
      </w:r>
      <w:r w:rsidRPr="003129E1">
        <w:rPr>
          <w:rFonts w:eastAsia="Times New Roman"/>
        </w:rPr>
        <w:instrText xml:space="preserve"> SEQ level0 \*arabic </w:instrText>
      </w:r>
      <w:r w:rsidRPr="003129E1">
        <w:rPr>
          <w:rFonts w:eastAsia="Times New Roman"/>
        </w:rPr>
        <w:fldChar w:fldCharType="separate"/>
      </w:r>
      <w:r w:rsidR="003129E1" w:rsidRPr="003129E1">
        <w:rPr>
          <w:rFonts w:eastAsia="Times New Roman"/>
          <w:noProof/>
        </w:rPr>
        <w:t>49</w:t>
      </w:r>
      <w:r w:rsidRPr="003129E1">
        <w:rPr>
          <w:rFonts w:eastAsia="Times New Roman"/>
        </w:rPr>
        <w:fldChar w:fldCharType="end"/>
      </w:r>
      <w:r w:rsidRPr="003129E1">
        <w:rPr>
          <w:rFonts w:eastAsia="Times New Roman"/>
        </w:rPr>
        <w:t>.  </w:t>
      </w:r>
      <w:r w:rsidR="00D77EB6" w:rsidRPr="003129E1">
        <w:rPr>
          <w:rFonts w:eastAsia="Times New Roman"/>
        </w:rPr>
        <w:t>For the reasons set out below, the</w:t>
      </w:r>
      <w:r w:rsidRPr="003129E1">
        <w:rPr>
          <w:rFonts w:eastAsia="Times New Roman"/>
        </w:rPr>
        <w:t xml:space="preserve"> Court </w:t>
      </w:r>
      <w:r w:rsidR="002C35B0" w:rsidRPr="003129E1">
        <w:rPr>
          <w:rFonts w:eastAsia="Times New Roman"/>
        </w:rPr>
        <w:t xml:space="preserve">is not persuaded that </w:t>
      </w:r>
      <w:r w:rsidR="00686870" w:rsidRPr="003129E1">
        <w:rPr>
          <w:rFonts w:eastAsia="Times New Roman"/>
        </w:rPr>
        <w:t xml:space="preserve">the investigation complied with the requirement of thoroughness as dictated by Article 3, in the sense that the authorities </w:t>
      </w:r>
      <w:r w:rsidR="00FE720D" w:rsidRPr="003129E1">
        <w:rPr>
          <w:rFonts w:eastAsia="Times New Roman"/>
        </w:rPr>
        <w:t xml:space="preserve">used </w:t>
      </w:r>
      <w:r w:rsidR="00BF7816" w:rsidRPr="003129E1">
        <w:rPr>
          <w:rFonts w:eastAsia="Times New Roman"/>
        </w:rPr>
        <w:t>their best endeavours</w:t>
      </w:r>
      <w:r w:rsidR="00686870" w:rsidRPr="003129E1">
        <w:rPr>
          <w:rFonts w:eastAsia="Times New Roman"/>
        </w:rPr>
        <w:t xml:space="preserve"> to find out what happened </w:t>
      </w:r>
      <w:r w:rsidR="00FE720D" w:rsidRPr="003129E1">
        <w:rPr>
          <w:rFonts w:eastAsia="Times New Roman"/>
        </w:rPr>
        <w:t xml:space="preserve">or </w:t>
      </w:r>
      <w:r w:rsidR="00686870" w:rsidRPr="003129E1">
        <w:rPr>
          <w:rFonts w:eastAsia="Times New Roman"/>
        </w:rPr>
        <w:t>did not rely on hasty or ill-founded conclusions to close their investigation or as the basis of their decisions (</w:t>
      </w:r>
      <w:r w:rsidR="0017435C" w:rsidRPr="003129E1">
        <w:rPr>
          <w:rFonts w:eastAsia="Times New Roman"/>
        </w:rPr>
        <w:t xml:space="preserve">see, amongst other authorities, </w:t>
      </w:r>
      <w:r w:rsidR="0062167E" w:rsidRPr="003129E1">
        <w:rPr>
          <w:i/>
        </w:rPr>
        <w:t>Alberti v. Italy</w:t>
      </w:r>
      <w:r w:rsidR="0062167E" w:rsidRPr="003129E1">
        <w:t>, no. 15397/11</w:t>
      </w:r>
      <w:r w:rsidR="0062167E" w:rsidRPr="003129E1">
        <w:rPr>
          <w:snapToGrid w:val="0"/>
        </w:rPr>
        <w:t xml:space="preserve">, § </w:t>
      </w:r>
      <w:r w:rsidR="008733BC" w:rsidRPr="003129E1">
        <w:rPr>
          <w:snapToGrid w:val="0"/>
        </w:rPr>
        <w:t>62</w:t>
      </w:r>
      <w:r w:rsidR="0062167E" w:rsidRPr="003129E1">
        <w:rPr>
          <w:snapToGrid w:val="0"/>
        </w:rPr>
        <w:t>, 24 June 2014</w:t>
      </w:r>
      <w:r w:rsidR="00567126" w:rsidRPr="003129E1">
        <w:rPr>
          <w:rFonts w:eastAsia="Times New Roman"/>
        </w:rPr>
        <w:t>)</w:t>
      </w:r>
      <w:r w:rsidR="00686870" w:rsidRPr="003129E1">
        <w:rPr>
          <w:rFonts w:eastAsia="Times New Roman"/>
        </w:rPr>
        <w:t>.</w:t>
      </w:r>
    </w:p>
    <w:p w:rsidR="009E7C75" w:rsidRPr="003129E1" w:rsidRDefault="003F1B10" w:rsidP="003129E1">
      <w:pPr>
        <w:pStyle w:val="ECHRPara"/>
        <w:rPr>
          <w:rFonts w:eastAsia="Times New Roman"/>
        </w:rPr>
      </w:pPr>
      <w:r w:rsidRPr="003129E1">
        <w:rPr>
          <w:rFonts w:eastAsia="Times New Roman"/>
          <w:lang w:val="it-IT"/>
        </w:rPr>
        <w:fldChar w:fldCharType="begin"/>
      </w:r>
      <w:r w:rsidRPr="003129E1">
        <w:rPr>
          <w:rFonts w:eastAsia="Times New Roman"/>
        </w:rPr>
        <w:instrText xml:space="preserve"> SEQ level0 \*arabic </w:instrText>
      </w:r>
      <w:r w:rsidRPr="003129E1">
        <w:rPr>
          <w:rFonts w:eastAsia="Times New Roman"/>
          <w:lang w:val="it-IT"/>
        </w:rPr>
        <w:fldChar w:fldCharType="separate"/>
      </w:r>
      <w:r w:rsidR="003129E1" w:rsidRPr="003129E1">
        <w:rPr>
          <w:rFonts w:eastAsia="Times New Roman"/>
          <w:noProof/>
        </w:rPr>
        <w:t>50</w:t>
      </w:r>
      <w:r w:rsidRPr="003129E1">
        <w:rPr>
          <w:rFonts w:eastAsia="Times New Roman"/>
          <w:lang w:val="it-IT"/>
        </w:rPr>
        <w:fldChar w:fldCharType="end"/>
      </w:r>
      <w:r w:rsidRPr="003129E1">
        <w:rPr>
          <w:rFonts w:eastAsia="Times New Roman"/>
        </w:rPr>
        <w:t>.  </w:t>
      </w:r>
      <w:r w:rsidR="00187D7F" w:rsidRPr="003129E1">
        <w:rPr>
          <w:rFonts w:eastAsia="Times New Roman"/>
        </w:rPr>
        <w:t>The</w:t>
      </w:r>
      <w:r w:rsidR="001F3EF8" w:rsidRPr="003129E1">
        <w:rPr>
          <w:rFonts w:eastAsia="Times New Roman"/>
        </w:rPr>
        <w:t xml:space="preserve"> Court notes</w:t>
      </w:r>
      <w:r w:rsidR="00187D7F" w:rsidRPr="003129E1">
        <w:rPr>
          <w:rFonts w:eastAsia="Times New Roman"/>
        </w:rPr>
        <w:t xml:space="preserve"> at the outset that the</w:t>
      </w:r>
      <w:r w:rsidR="001F19F2" w:rsidRPr="003129E1">
        <w:rPr>
          <w:rFonts w:eastAsia="Times New Roman"/>
        </w:rPr>
        <w:t xml:space="preserve"> investigation file shows no evidence of </w:t>
      </w:r>
      <w:r w:rsidR="00FE720D" w:rsidRPr="003129E1">
        <w:rPr>
          <w:rFonts w:eastAsia="Times New Roman"/>
        </w:rPr>
        <w:t xml:space="preserve">any </w:t>
      </w:r>
      <w:r w:rsidR="001F19F2" w:rsidRPr="003129E1">
        <w:rPr>
          <w:rFonts w:eastAsia="Times New Roman"/>
        </w:rPr>
        <w:t>investigati</w:t>
      </w:r>
      <w:r w:rsidR="00FE720D" w:rsidRPr="003129E1">
        <w:rPr>
          <w:rFonts w:eastAsia="Times New Roman"/>
        </w:rPr>
        <w:t xml:space="preserve">ve </w:t>
      </w:r>
      <w:r w:rsidR="001F19F2" w:rsidRPr="003129E1">
        <w:rPr>
          <w:rFonts w:eastAsia="Times New Roman"/>
        </w:rPr>
        <w:t xml:space="preserve">efforts directed towards the events that occurred in the </w:t>
      </w:r>
      <w:r w:rsidR="00003AD9" w:rsidRPr="003129E1">
        <w:rPr>
          <w:rFonts w:eastAsia="Times New Roman"/>
        </w:rPr>
        <w:t>m</w:t>
      </w:r>
      <w:r w:rsidR="001F19F2" w:rsidRPr="003129E1">
        <w:rPr>
          <w:rFonts w:eastAsia="Times New Roman"/>
        </w:rPr>
        <w:t xml:space="preserve">unicipal </w:t>
      </w:r>
      <w:r w:rsidR="00FE720D" w:rsidRPr="003129E1">
        <w:rPr>
          <w:rFonts w:eastAsia="Times New Roman"/>
        </w:rPr>
        <w:t>p</w:t>
      </w:r>
      <w:r w:rsidR="001F19F2" w:rsidRPr="003129E1">
        <w:rPr>
          <w:rFonts w:eastAsia="Times New Roman"/>
        </w:rPr>
        <w:t xml:space="preserve">olice </w:t>
      </w:r>
      <w:r w:rsidR="00FE720D" w:rsidRPr="003129E1">
        <w:rPr>
          <w:rFonts w:eastAsia="Times New Roman"/>
        </w:rPr>
        <w:t>s</w:t>
      </w:r>
      <w:r w:rsidR="001F19F2" w:rsidRPr="003129E1">
        <w:rPr>
          <w:rFonts w:eastAsia="Times New Roman"/>
        </w:rPr>
        <w:t>tation, although that is where the applicant allege</w:t>
      </w:r>
      <w:r w:rsidR="00FE720D" w:rsidRPr="003129E1">
        <w:rPr>
          <w:rFonts w:eastAsia="Times New Roman"/>
        </w:rPr>
        <w:t>d</w:t>
      </w:r>
      <w:r w:rsidR="001F19F2" w:rsidRPr="003129E1">
        <w:rPr>
          <w:rFonts w:eastAsia="Times New Roman"/>
        </w:rPr>
        <w:t xml:space="preserve"> </w:t>
      </w:r>
      <w:r w:rsidR="00FE720D" w:rsidRPr="003129E1">
        <w:rPr>
          <w:rFonts w:eastAsia="Times New Roman"/>
        </w:rPr>
        <w:t xml:space="preserve">that </w:t>
      </w:r>
      <w:r w:rsidR="001F19F2" w:rsidRPr="003129E1">
        <w:rPr>
          <w:rFonts w:eastAsia="Times New Roman"/>
        </w:rPr>
        <w:t xml:space="preserve">the most </w:t>
      </w:r>
      <w:r w:rsidR="00B62CE3" w:rsidRPr="003129E1">
        <w:rPr>
          <w:rFonts w:eastAsia="Times New Roman"/>
        </w:rPr>
        <w:t xml:space="preserve">important </w:t>
      </w:r>
      <w:r w:rsidR="001F19F2" w:rsidRPr="003129E1">
        <w:rPr>
          <w:rFonts w:eastAsia="Times New Roman"/>
        </w:rPr>
        <w:t xml:space="preserve">injuries </w:t>
      </w:r>
      <w:r w:rsidR="004F644C" w:rsidRPr="003129E1">
        <w:rPr>
          <w:rFonts w:eastAsia="Times New Roman"/>
        </w:rPr>
        <w:t>had been</w:t>
      </w:r>
      <w:r w:rsidR="001F19F2" w:rsidRPr="003129E1">
        <w:rPr>
          <w:rFonts w:eastAsia="Times New Roman"/>
        </w:rPr>
        <w:t xml:space="preserve"> inflicted.</w:t>
      </w:r>
      <w:r w:rsidR="001F025D" w:rsidRPr="003129E1">
        <w:rPr>
          <w:rFonts w:eastAsia="Times New Roman"/>
        </w:rPr>
        <w:t xml:space="preserve"> </w:t>
      </w:r>
      <w:r w:rsidR="002F157B" w:rsidRPr="003129E1">
        <w:rPr>
          <w:rFonts w:eastAsia="Times New Roman"/>
        </w:rPr>
        <w:t>The Court</w:t>
      </w:r>
      <w:r w:rsidR="001F3EF8" w:rsidRPr="003129E1">
        <w:rPr>
          <w:rFonts w:eastAsia="Times New Roman"/>
        </w:rPr>
        <w:t xml:space="preserve"> further</w:t>
      </w:r>
      <w:r w:rsidR="002F157B" w:rsidRPr="003129E1">
        <w:rPr>
          <w:rFonts w:eastAsia="Times New Roman"/>
        </w:rPr>
        <w:t xml:space="preserve"> notes that the applicant </w:t>
      </w:r>
      <w:r w:rsidR="005A337E" w:rsidRPr="003129E1">
        <w:rPr>
          <w:rFonts w:eastAsia="Times New Roman"/>
        </w:rPr>
        <w:t xml:space="preserve">explicitly </w:t>
      </w:r>
      <w:r w:rsidR="002F157B" w:rsidRPr="003129E1">
        <w:rPr>
          <w:rFonts w:eastAsia="Times New Roman"/>
        </w:rPr>
        <w:t>complained about the lack of investigative measures concerning the events that had take</w:t>
      </w:r>
      <w:r w:rsidR="00A8270F" w:rsidRPr="003129E1">
        <w:rPr>
          <w:rFonts w:eastAsia="Times New Roman"/>
        </w:rPr>
        <w:t>n</w:t>
      </w:r>
      <w:r w:rsidR="002F157B" w:rsidRPr="003129E1">
        <w:rPr>
          <w:rFonts w:eastAsia="Times New Roman"/>
        </w:rPr>
        <w:t xml:space="preserve"> place at the station </w:t>
      </w:r>
      <w:r w:rsidR="00FE720D" w:rsidRPr="003129E1">
        <w:rPr>
          <w:rFonts w:eastAsia="Times New Roman"/>
        </w:rPr>
        <w:t xml:space="preserve">to </w:t>
      </w:r>
      <w:r w:rsidR="002F157B" w:rsidRPr="003129E1">
        <w:rPr>
          <w:rFonts w:eastAsia="Times New Roman"/>
        </w:rPr>
        <w:t>the domestic authorities (</w:t>
      </w:r>
      <w:r w:rsidR="00F35A63" w:rsidRPr="003129E1">
        <w:rPr>
          <w:rFonts w:eastAsia="Times New Roman"/>
        </w:rPr>
        <w:t>s</w:t>
      </w:r>
      <w:r w:rsidR="0086270B" w:rsidRPr="003129E1">
        <w:rPr>
          <w:rFonts w:eastAsia="Times New Roman"/>
        </w:rPr>
        <w:t xml:space="preserve">ee paragraph </w:t>
      </w:r>
      <w:r w:rsidR="001D2F29" w:rsidRPr="003129E1">
        <w:rPr>
          <w:rFonts w:eastAsia="Times New Roman"/>
        </w:rPr>
        <w:fldChar w:fldCharType="begin"/>
      </w:r>
      <w:r w:rsidR="001D2F29" w:rsidRPr="003129E1">
        <w:rPr>
          <w:rFonts w:eastAsia="Times New Roman"/>
        </w:rPr>
        <w:instrText xml:space="preserve"> REF Objection \h </w:instrText>
      </w:r>
      <w:r w:rsidR="008840CB" w:rsidRPr="003129E1">
        <w:rPr>
          <w:rFonts w:eastAsia="Times New Roman"/>
        </w:rPr>
        <w:instrText xml:space="preserve"> \* MERGEFORMAT </w:instrText>
      </w:r>
      <w:r w:rsidR="001D2F29" w:rsidRPr="003129E1">
        <w:rPr>
          <w:rFonts w:eastAsia="Times New Roman"/>
        </w:rPr>
      </w:r>
      <w:r w:rsidR="001D2F29" w:rsidRPr="003129E1">
        <w:rPr>
          <w:rFonts w:eastAsia="Times New Roman"/>
        </w:rPr>
        <w:fldChar w:fldCharType="separate"/>
      </w:r>
      <w:r w:rsidR="003129E1" w:rsidRPr="003129E1">
        <w:rPr>
          <w:noProof/>
        </w:rPr>
        <w:t>20</w:t>
      </w:r>
      <w:r w:rsidR="001D2F29" w:rsidRPr="003129E1">
        <w:rPr>
          <w:rFonts w:eastAsia="Times New Roman"/>
        </w:rPr>
        <w:fldChar w:fldCharType="end"/>
      </w:r>
      <w:r w:rsidR="00F35A63" w:rsidRPr="003129E1">
        <w:rPr>
          <w:rFonts w:eastAsia="Times New Roman"/>
        </w:rPr>
        <w:t xml:space="preserve"> above</w:t>
      </w:r>
      <w:r w:rsidR="002F157B" w:rsidRPr="003129E1">
        <w:rPr>
          <w:rFonts w:eastAsia="Times New Roman"/>
        </w:rPr>
        <w:t>).</w:t>
      </w:r>
      <w:r w:rsidR="00D43DF8" w:rsidRPr="003129E1">
        <w:rPr>
          <w:rFonts w:eastAsia="Times New Roman"/>
        </w:rPr>
        <w:t> </w:t>
      </w:r>
      <w:r w:rsidR="00056F0A" w:rsidRPr="003129E1">
        <w:rPr>
          <w:rFonts w:eastAsia="Times New Roman"/>
        </w:rPr>
        <w:t>The</w:t>
      </w:r>
      <w:r w:rsidR="00384B96" w:rsidRPr="003129E1">
        <w:rPr>
          <w:rFonts w:eastAsia="Times New Roman"/>
        </w:rPr>
        <w:t xml:space="preserve"> only</w:t>
      </w:r>
      <w:r w:rsidR="00056F0A" w:rsidRPr="003129E1">
        <w:rPr>
          <w:rFonts w:eastAsia="Times New Roman"/>
        </w:rPr>
        <w:t xml:space="preserve"> documents </w:t>
      </w:r>
      <w:r w:rsidR="009361B9" w:rsidRPr="003129E1">
        <w:rPr>
          <w:rFonts w:eastAsia="Times New Roman"/>
        </w:rPr>
        <w:t xml:space="preserve">which relate to the events at the </w:t>
      </w:r>
      <w:r w:rsidR="00003AD9" w:rsidRPr="003129E1">
        <w:rPr>
          <w:rFonts w:eastAsia="Times New Roman"/>
        </w:rPr>
        <w:t>m</w:t>
      </w:r>
      <w:r w:rsidR="009361B9" w:rsidRPr="003129E1">
        <w:rPr>
          <w:rFonts w:eastAsia="Times New Roman"/>
        </w:rPr>
        <w:t xml:space="preserve">unicipal </w:t>
      </w:r>
      <w:r w:rsidR="00FE720D" w:rsidRPr="003129E1">
        <w:rPr>
          <w:rFonts w:eastAsia="Times New Roman"/>
        </w:rPr>
        <w:t>p</w:t>
      </w:r>
      <w:r w:rsidR="009361B9" w:rsidRPr="003129E1">
        <w:rPr>
          <w:rFonts w:eastAsia="Times New Roman"/>
        </w:rPr>
        <w:t xml:space="preserve">olice </w:t>
      </w:r>
      <w:r w:rsidR="00FE720D" w:rsidRPr="003129E1">
        <w:rPr>
          <w:rFonts w:eastAsia="Times New Roman"/>
        </w:rPr>
        <w:t>s</w:t>
      </w:r>
      <w:r w:rsidR="009361B9" w:rsidRPr="003129E1">
        <w:rPr>
          <w:rFonts w:eastAsia="Times New Roman"/>
        </w:rPr>
        <w:t xml:space="preserve">tation are reports by the </w:t>
      </w:r>
      <w:r w:rsidR="00003AD9" w:rsidRPr="003129E1">
        <w:rPr>
          <w:rFonts w:eastAsia="Times New Roman"/>
        </w:rPr>
        <w:t>m</w:t>
      </w:r>
      <w:r w:rsidR="004E23BB" w:rsidRPr="003129E1">
        <w:rPr>
          <w:rFonts w:eastAsia="Times New Roman"/>
        </w:rPr>
        <w:t xml:space="preserve">unicipal </w:t>
      </w:r>
      <w:r w:rsidR="009361B9" w:rsidRPr="003129E1">
        <w:rPr>
          <w:rFonts w:eastAsia="Times New Roman"/>
        </w:rPr>
        <w:t>police officers</w:t>
      </w:r>
      <w:r w:rsidR="007414B8" w:rsidRPr="003129E1">
        <w:rPr>
          <w:rFonts w:eastAsia="Times New Roman"/>
        </w:rPr>
        <w:t xml:space="preserve"> (</w:t>
      </w:r>
      <w:r w:rsidR="00466BB6" w:rsidRPr="003129E1">
        <w:rPr>
          <w:rFonts w:eastAsia="Times New Roman"/>
        </w:rPr>
        <w:t xml:space="preserve">see paragraph </w:t>
      </w:r>
      <w:r w:rsidR="00800744" w:rsidRPr="003129E1">
        <w:rPr>
          <w:rFonts w:eastAsia="Times New Roman"/>
        </w:rPr>
        <w:fldChar w:fldCharType="begin"/>
      </w:r>
      <w:r w:rsidR="00800744" w:rsidRPr="003129E1">
        <w:rPr>
          <w:rFonts w:eastAsia="Times New Roman"/>
        </w:rPr>
        <w:instrText xml:space="preserve"> REF Main_Municipal_police_reports \h </w:instrText>
      </w:r>
      <w:r w:rsidR="008840CB" w:rsidRPr="003129E1">
        <w:rPr>
          <w:rFonts w:eastAsia="Times New Roman"/>
        </w:rPr>
        <w:instrText xml:space="preserve"> \* MERGEFORMAT </w:instrText>
      </w:r>
      <w:r w:rsidR="00800744" w:rsidRPr="003129E1">
        <w:rPr>
          <w:rFonts w:eastAsia="Times New Roman"/>
        </w:rPr>
      </w:r>
      <w:r w:rsidR="00800744" w:rsidRPr="003129E1">
        <w:rPr>
          <w:rFonts w:eastAsia="Times New Roman"/>
        </w:rPr>
        <w:fldChar w:fldCharType="separate"/>
      </w:r>
      <w:r w:rsidR="003129E1" w:rsidRPr="003129E1">
        <w:rPr>
          <w:noProof/>
        </w:rPr>
        <w:t>14</w:t>
      </w:r>
      <w:r w:rsidR="00800744" w:rsidRPr="003129E1">
        <w:rPr>
          <w:rFonts w:eastAsia="Times New Roman"/>
        </w:rPr>
        <w:fldChar w:fldCharType="end"/>
      </w:r>
      <w:r w:rsidR="00800744" w:rsidRPr="003129E1">
        <w:rPr>
          <w:rFonts w:eastAsia="Times New Roman"/>
        </w:rPr>
        <w:t xml:space="preserve"> </w:t>
      </w:r>
      <w:r w:rsidR="00466BB6" w:rsidRPr="003129E1">
        <w:rPr>
          <w:rFonts w:eastAsia="Times New Roman"/>
        </w:rPr>
        <w:t>above</w:t>
      </w:r>
      <w:r w:rsidR="007414B8" w:rsidRPr="003129E1">
        <w:rPr>
          <w:rFonts w:eastAsia="Times New Roman"/>
        </w:rPr>
        <w:t>).</w:t>
      </w:r>
      <w:r w:rsidR="00384B96" w:rsidRPr="003129E1">
        <w:rPr>
          <w:rFonts w:eastAsia="Times New Roman"/>
        </w:rPr>
        <w:t xml:space="preserve"> </w:t>
      </w:r>
      <w:r w:rsidR="00975B3A" w:rsidRPr="003129E1">
        <w:rPr>
          <w:rFonts w:eastAsia="Times New Roman"/>
        </w:rPr>
        <w:t xml:space="preserve">All the other documents contained in the investigation </w:t>
      </w:r>
      <w:r w:rsidR="00575BC3" w:rsidRPr="003129E1">
        <w:rPr>
          <w:rFonts w:eastAsia="Times New Roman"/>
        </w:rPr>
        <w:t>concern</w:t>
      </w:r>
      <w:r w:rsidR="00975B3A" w:rsidRPr="003129E1">
        <w:rPr>
          <w:rFonts w:eastAsia="Times New Roman"/>
        </w:rPr>
        <w:t xml:space="preserve"> the events</w:t>
      </w:r>
      <w:r w:rsidR="00A875FB" w:rsidRPr="003129E1">
        <w:rPr>
          <w:rFonts w:eastAsia="Times New Roman"/>
        </w:rPr>
        <w:t xml:space="preserve"> </w:t>
      </w:r>
      <w:r w:rsidR="00575BC3" w:rsidRPr="003129E1">
        <w:rPr>
          <w:rFonts w:eastAsia="Times New Roman"/>
        </w:rPr>
        <w:t>that took place in</w:t>
      </w:r>
      <w:r w:rsidR="00D466B4" w:rsidRPr="003129E1">
        <w:rPr>
          <w:rFonts w:eastAsia="Times New Roman"/>
        </w:rPr>
        <w:t xml:space="preserve"> </w:t>
      </w:r>
      <w:r w:rsidR="00486BC2" w:rsidRPr="003129E1">
        <w:rPr>
          <w:rFonts w:eastAsia="Times New Roman"/>
        </w:rPr>
        <w:t xml:space="preserve">the </w:t>
      </w:r>
      <w:r w:rsidR="00D466B4" w:rsidRPr="003129E1">
        <w:rPr>
          <w:rFonts w:eastAsia="Times New Roman"/>
        </w:rPr>
        <w:t>street</w:t>
      </w:r>
      <w:r w:rsidR="00575BC3" w:rsidRPr="003129E1">
        <w:rPr>
          <w:rFonts w:eastAsia="Times New Roman"/>
        </w:rPr>
        <w:t xml:space="preserve"> </w:t>
      </w:r>
      <w:r w:rsidR="00FE720D" w:rsidRPr="003129E1">
        <w:rPr>
          <w:rFonts w:eastAsia="Times New Roman"/>
        </w:rPr>
        <w:t xml:space="preserve">after </w:t>
      </w:r>
      <w:r w:rsidR="00862C6D" w:rsidRPr="003129E1">
        <w:rPr>
          <w:rFonts w:eastAsia="Times New Roman"/>
        </w:rPr>
        <w:t>the applicant had been stopped on suspicion of driving under the influence of alcohol</w:t>
      </w:r>
      <w:r w:rsidR="00575BC3" w:rsidRPr="003129E1">
        <w:rPr>
          <w:rFonts w:eastAsia="Times New Roman"/>
        </w:rPr>
        <w:t>.</w:t>
      </w:r>
    </w:p>
    <w:p w:rsidR="009E7C75" w:rsidRPr="003129E1" w:rsidRDefault="00402C9B" w:rsidP="003129E1">
      <w:pPr>
        <w:pStyle w:val="ECHRPara"/>
        <w:rPr>
          <w:rFonts w:eastAsia="Times New Roman"/>
        </w:rPr>
      </w:pPr>
      <w:r w:rsidRPr="003129E1">
        <w:rPr>
          <w:rFonts w:eastAsia="Times New Roman"/>
        </w:rPr>
        <w:fldChar w:fldCharType="begin"/>
      </w:r>
      <w:r w:rsidRPr="003129E1">
        <w:rPr>
          <w:rFonts w:eastAsia="Times New Roman"/>
        </w:rPr>
        <w:instrText xml:space="preserve"> SEQ level0 \*arabic </w:instrText>
      </w:r>
      <w:r w:rsidRPr="003129E1">
        <w:rPr>
          <w:rFonts w:eastAsia="Times New Roman"/>
        </w:rPr>
        <w:fldChar w:fldCharType="separate"/>
      </w:r>
      <w:r w:rsidR="003129E1" w:rsidRPr="003129E1">
        <w:rPr>
          <w:rFonts w:eastAsia="Times New Roman"/>
          <w:noProof/>
        </w:rPr>
        <w:t>51</w:t>
      </w:r>
      <w:r w:rsidRPr="003129E1">
        <w:rPr>
          <w:rFonts w:eastAsia="Times New Roman"/>
        </w:rPr>
        <w:fldChar w:fldCharType="end"/>
      </w:r>
      <w:r w:rsidRPr="003129E1">
        <w:rPr>
          <w:rFonts w:eastAsia="Times New Roman"/>
        </w:rPr>
        <w:t>.  </w:t>
      </w:r>
      <w:r w:rsidR="00B82CDC" w:rsidRPr="003129E1">
        <w:rPr>
          <w:rFonts w:eastAsia="Times New Roman"/>
        </w:rPr>
        <w:t xml:space="preserve">The focus of the investigation on the </w:t>
      </w:r>
      <w:r w:rsidR="000113F3" w:rsidRPr="003129E1">
        <w:rPr>
          <w:rFonts w:eastAsia="Times New Roman"/>
        </w:rPr>
        <w:t xml:space="preserve">latter </w:t>
      </w:r>
      <w:r w:rsidR="00B82CDC" w:rsidRPr="003129E1">
        <w:rPr>
          <w:rFonts w:eastAsia="Times New Roman"/>
        </w:rPr>
        <w:t>events</w:t>
      </w:r>
      <w:r w:rsidR="00FE720D" w:rsidRPr="003129E1">
        <w:rPr>
          <w:rFonts w:eastAsia="Times New Roman"/>
        </w:rPr>
        <w:t>,</w:t>
      </w:r>
      <w:r w:rsidR="00B82CDC" w:rsidRPr="003129E1">
        <w:rPr>
          <w:rFonts w:eastAsia="Times New Roman"/>
        </w:rPr>
        <w:t xml:space="preserve"> </w:t>
      </w:r>
      <w:r w:rsidR="008D58E5" w:rsidRPr="003129E1">
        <w:rPr>
          <w:rFonts w:eastAsia="Times New Roman"/>
        </w:rPr>
        <w:t>as opposed to the events at the station</w:t>
      </w:r>
      <w:r w:rsidR="00FE720D" w:rsidRPr="003129E1">
        <w:rPr>
          <w:rFonts w:eastAsia="Times New Roman"/>
        </w:rPr>
        <w:t>,</w:t>
      </w:r>
      <w:r w:rsidR="00B82CDC" w:rsidRPr="003129E1">
        <w:rPr>
          <w:rFonts w:eastAsia="Times New Roman"/>
        </w:rPr>
        <w:t xml:space="preserve"> </w:t>
      </w:r>
      <w:r w:rsidR="00E565E6" w:rsidRPr="003129E1">
        <w:rPr>
          <w:rFonts w:eastAsia="Times New Roman"/>
        </w:rPr>
        <w:t xml:space="preserve">is also reflected </w:t>
      </w:r>
      <w:r w:rsidR="00425664" w:rsidRPr="003129E1">
        <w:rPr>
          <w:rFonts w:eastAsia="Times New Roman"/>
        </w:rPr>
        <w:t xml:space="preserve">in the fact that the </w:t>
      </w:r>
      <w:r w:rsidR="00D05D82" w:rsidRPr="003129E1">
        <w:rPr>
          <w:rFonts w:eastAsia="Times New Roman"/>
        </w:rPr>
        <w:t xml:space="preserve">interviews </w:t>
      </w:r>
      <w:r w:rsidR="00FE720D" w:rsidRPr="003129E1">
        <w:rPr>
          <w:rFonts w:eastAsia="Times New Roman"/>
        </w:rPr>
        <w:t xml:space="preserve">with </w:t>
      </w:r>
      <w:r w:rsidR="00D05D82" w:rsidRPr="003129E1">
        <w:rPr>
          <w:rFonts w:eastAsia="Times New Roman"/>
        </w:rPr>
        <w:t>witnesses</w:t>
      </w:r>
      <w:r w:rsidR="00425664" w:rsidRPr="003129E1">
        <w:rPr>
          <w:rFonts w:eastAsia="Times New Roman"/>
        </w:rPr>
        <w:t xml:space="preserve"> were limited to the individuals</w:t>
      </w:r>
      <w:r w:rsidR="00D05D82" w:rsidRPr="003129E1">
        <w:rPr>
          <w:rFonts w:eastAsia="Times New Roman"/>
        </w:rPr>
        <w:t xml:space="preserve"> identified by the applicant in her </w:t>
      </w:r>
      <w:r w:rsidR="00D05D82" w:rsidRPr="003129E1">
        <w:rPr>
          <w:rFonts w:eastAsia="Times New Roman"/>
        </w:rPr>
        <w:lastRenderedPageBreak/>
        <w:t>criminal complaint</w:t>
      </w:r>
      <w:r w:rsidR="0033704C" w:rsidRPr="003129E1">
        <w:rPr>
          <w:rFonts w:eastAsia="Times New Roman"/>
        </w:rPr>
        <w:t>, as is also conceded by the Government</w:t>
      </w:r>
      <w:r w:rsidR="009D53A0" w:rsidRPr="003129E1">
        <w:rPr>
          <w:rFonts w:eastAsia="Times New Roman"/>
        </w:rPr>
        <w:t xml:space="preserve"> in their observations</w:t>
      </w:r>
      <w:r w:rsidR="00D05D82" w:rsidRPr="003129E1">
        <w:rPr>
          <w:rFonts w:eastAsia="Times New Roman"/>
        </w:rPr>
        <w:t xml:space="preserve">. With the exception of the person who lent his </w:t>
      </w:r>
      <w:r w:rsidR="00FE720D" w:rsidRPr="003129E1">
        <w:rPr>
          <w:rFonts w:eastAsia="Times New Roman"/>
        </w:rPr>
        <w:t>tele</w:t>
      </w:r>
      <w:r w:rsidR="00D05D82" w:rsidRPr="003129E1">
        <w:rPr>
          <w:rFonts w:eastAsia="Times New Roman"/>
        </w:rPr>
        <w:t xml:space="preserve">phone to the applicant after she </w:t>
      </w:r>
      <w:r w:rsidR="00003AD9" w:rsidRPr="003129E1">
        <w:rPr>
          <w:rFonts w:eastAsia="Times New Roman"/>
        </w:rPr>
        <w:t xml:space="preserve">had </w:t>
      </w:r>
      <w:r w:rsidR="00D05D82" w:rsidRPr="003129E1">
        <w:rPr>
          <w:rFonts w:eastAsia="Times New Roman"/>
        </w:rPr>
        <w:t xml:space="preserve">left the hospital, the </w:t>
      </w:r>
      <w:r w:rsidR="000F67DB" w:rsidRPr="003129E1">
        <w:rPr>
          <w:rFonts w:eastAsia="Times New Roman"/>
        </w:rPr>
        <w:t>individuals</w:t>
      </w:r>
      <w:r w:rsidR="0064505B" w:rsidRPr="003129E1">
        <w:rPr>
          <w:rFonts w:eastAsia="Times New Roman"/>
        </w:rPr>
        <w:t xml:space="preserve"> identified by the </w:t>
      </w:r>
      <w:r w:rsidR="00FA597C" w:rsidRPr="003129E1">
        <w:rPr>
          <w:rFonts w:eastAsia="Times New Roman"/>
        </w:rPr>
        <w:t>applicant</w:t>
      </w:r>
      <w:r w:rsidR="00D05D82" w:rsidRPr="003129E1">
        <w:rPr>
          <w:rFonts w:eastAsia="Times New Roman"/>
        </w:rPr>
        <w:t xml:space="preserve"> were connected either to the events in the street or attest</w:t>
      </w:r>
      <w:r w:rsidR="00FE720D" w:rsidRPr="003129E1">
        <w:rPr>
          <w:rFonts w:eastAsia="Times New Roman"/>
        </w:rPr>
        <w:t>ed</w:t>
      </w:r>
      <w:r w:rsidR="00D05D82" w:rsidRPr="003129E1">
        <w:rPr>
          <w:rFonts w:eastAsia="Times New Roman"/>
        </w:rPr>
        <w:t xml:space="preserve"> to the applicant</w:t>
      </w:r>
      <w:r w:rsidR="003129E1" w:rsidRPr="003129E1">
        <w:rPr>
          <w:rFonts w:eastAsia="Times New Roman"/>
        </w:rPr>
        <w:t>’</w:t>
      </w:r>
      <w:r w:rsidR="00D05D82" w:rsidRPr="003129E1">
        <w:rPr>
          <w:rFonts w:eastAsia="Times New Roman"/>
        </w:rPr>
        <w:t xml:space="preserve">s </w:t>
      </w:r>
      <w:r w:rsidR="00003AD9" w:rsidRPr="003129E1">
        <w:rPr>
          <w:rFonts w:eastAsia="Times New Roman"/>
        </w:rPr>
        <w:t xml:space="preserve">being </w:t>
      </w:r>
      <w:r w:rsidR="00D90725" w:rsidRPr="003129E1">
        <w:rPr>
          <w:rFonts w:eastAsia="Times New Roman"/>
        </w:rPr>
        <w:t>sober</w:t>
      </w:r>
      <w:r w:rsidR="00C11ACF" w:rsidRPr="003129E1">
        <w:rPr>
          <w:rFonts w:eastAsia="Times New Roman"/>
        </w:rPr>
        <w:t xml:space="preserve"> and </w:t>
      </w:r>
      <w:r w:rsidR="00003AD9" w:rsidRPr="003129E1">
        <w:rPr>
          <w:rFonts w:eastAsia="Times New Roman"/>
        </w:rPr>
        <w:t xml:space="preserve">her </w:t>
      </w:r>
      <w:r w:rsidR="003701C4" w:rsidRPr="003129E1">
        <w:rPr>
          <w:rFonts w:eastAsia="Times New Roman"/>
        </w:rPr>
        <w:t>personal circumstances</w:t>
      </w:r>
      <w:r w:rsidR="00984ABD" w:rsidRPr="003129E1">
        <w:rPr>
          <w:rFonts w:eastAsia="Times New Roman"/>
        </w:rPr>
        <w:t xml:space="preserve"> (see para </w:t>
      </w:r>
      <w:r w:rsidR="00F16000" w:rsidRPr="003129E1">
        <w:rPr>
          <w:rFonts w:eastAsia="Times New Roman"/>
        </w:rPr>
        <w:fldChar w:fldCharType="begin"/>
      </w:r>
      <w:r w:rsidR="00F16000" w:rsidRPr="003129E1">
        <w:rPr>
          <w:rFonts w:eastAsia="Times New Roman"/>
        </w:rPr>
        <w:instrText xml:space="preserve"> REF SIT \h </w:instrText>
      </w:r>
      <w:r w:rsidR="00F16000" w:rsidRPr="003129E1">
        <w:rPr>
          <w:rFonts w:eastAsia="Times New Roman"/>
        </w:rPr>
      </w:r>
      <w:r w:rsidR="00F16000" w:rsidRPr="003129E1">
        <w:rPr>
          <w:rFonts w:eastAsia="Times New Roman"/>
        </w:rPr>
        <w:fldChar w:fldCharType="separate"/>
      </w:r>
      <w:r w:rsidR="003129E1" w:rsidRPr="003129E1">
        <w:rPr>
          <w:noProof/>
        </w:rPr>
        <w:t>18</w:t>
      </w:r>
      <w:r w:rsidR="00F16000" w:rsidRPr="003129E1">
        <w:rPr>
          <w:rFonts w:eastAsia="Times New Roman"/>
        </w:rPr>
        <w:fldChar w:fldCharType="end"/>
      </w:r>
      <w:r w:rsidR="00F16000" w:rsidRPr="003129E1">
        <w:rPr>
          <w:rFonts w:eastAsia="Times New Roman"/>
        </w:rPr>
        <w:t xml:space="preserve"> </w:t>
      </w:r>
      <w:r w:rsidR="00D05D82" w:rsidRPr="003129E1">
        <w:rPr>
          <w:rFonts w:eastAsia="Times New Roman"/>
        </w:rPr>
        <w:t>above).</w:t>
      </w:r>
      <w:r w:rsidR="009C4895" w:rsidRPr="003129E1">
        <w:rPr>
          <w:rFonts w:eastAsia="Times New Roman"/>
        </w:rPr>
        <w:t xml:space="preserve"> </w:t>
      </w:r>
      <w:r w:rsidR="006D75E7" w:rsidRPr="003129E1">
        <w:rPr>
          <w:rFonts w:eastAsia="Times New Roman"/>
        </w:rPr>
        <w:t>In addition, t</w:t>
      </w:r>
      <w:r w:rsidR="009C4895" w:rsidRPr="003129E1">
        <w:rPr>
          <w:rFonts w:eastAsia="Times New Roman"/>
        </w:rPr>
        <w:t xml:space="preserve">he </w:t>
      </w:r>
      <w:r w:rsidR="009D53A0" w:rsidRPr="003129E1">
        <w:rPr>
          <w:rFonts w:eastAsia="Times New Roman"/>
        </w:rPr>
        <w:t>C</w:t>
      </w:r>
      <w:r w:rsidR="009C4895" w:rsidRPr="003129E1">
        <w:rPr>
          <w:rFonts w:eastAsia="Times New Roman"/>
        </w:rPr>
        <w:t xml:space="preserve">ourt notes that </w:t>
      </w:r>
      <w:r w:rsidR="00075DD7" w:rsidRPr="003129E1">
        <w:rPr>
          <w:rFonts w:eastAsia="Times New Roman"/>
        </w:rPr>
        <w:t>neither the police officers involved in the impugned events, nor the applicant</w:t>
      </w:r>
      <w:r w:rsidR="002F065D" w:rsidRPr="003129E1">
        <w:rPr>
          <w:rFonts w:eastAsia="Times New Roman"/>
        </w:rPr>
        <w:t>,</w:t>
      </w:r>
      <w:r w:rsidR="00075DD7" w:rsidRPr="003129E1">
        <w:rPr>
          <w:rFonts w:eastAsia="Times New Roman"/>
        </w:rPr>
        <w:t xml:space="preserve"> were interviewed.</w:t>
      </w:r>
    </w:p>
    <w:p w:rsidR="000D3C0F" w:rsidRPr="003129E1" w:rsidRDefault="000D3C0F" w:rsidP="003129E1">
      <w:pPr>
        <w:pStyle w:val="ECHRPara"/>
        <w:rPr>
          <w:rFonts w:ascii="Times New Roman" w:eastAsia="Times New Roman" w:hAnsi="Times New Roman" w:cs="Times New Roman"/>
        </w:rPr>
      </w:pPr>
      <w:r w:rsidRPr="003129E1">
        <w:rPr>
          <w:rFonts w:ascii="Times New Roman" w:eastAsia="Times New Roman" w:hAnsi="Times New Roman" w:cs="Times New Roman"/>
        </w:rPr>
        <w:fldChar w:fldCharType="begin"/>
      </w:r>
      <w:r w:rsidRPr="003129E1">
        <w:rPr>
          <w:rFonts w:ascii="Times New Roman" w:eastAsia="Times New Roman" w:hAnsi="Times New Roman" w:cs="Times New Roman"/>
        </w:rPr>
        <w:instrText xml:space="preserve"> SEQ level0 \*arabic </w:instrText>
      </w:r>
      <w:r w:rsidRPr="003129E1">
        <w:rPr>
          <w:rFonts w:ascii="Times New Roman" w:eastAsia="Times New Roman" w:hAnsi="Times New Roman" w:cs="Times New Roman"/>
        </w:rPr>
        <w:fldChar w:fldCharType="separate"/>
      </w:r>
      <w:r w:rsidR="003129E1" w:rsidRPr="003129E1">
        <w:rPr>
          <w:rFonts w:ascii="Times New Roman" w:eastAsia="Times New Roman" w:hAnsi="Times New Roman" w:cs="Times New Roman"/>
          <w:noProof/>
        </w:rPr>
        <w:t>52</w:t>
      </w:r>
      <w:r w:rsidRPr="003129E1">
        <w:rPr>
          <w:rFonts w:ascii="Times New Roman" w:eastAsia="Times New Roman" w:hAnsi="Times New Roman" w:cs="Times New Roman"/>
        </w:rPr>
        <w:fldChar w:fldCharType="end"/>
      </w:r>
      <w:r w:rsidRPr="003129E1">
        <w:rPr>
          <w:rFonts w:ascii="Times New Roman" w:eastAsia="Times New Roman" w:hAnsi="Times New Roman" w:cs="Times New Roman"/>
        </w:rPr>
        <w:t>.  </w:t>
      </w:r>
      <w:r w:rsidR="00A71C41" w:rsidRPr="003129E1">
        <w:rPr>
          <w:rFonts w:ascii="Times New Roman" w:eastAsia="Times New Roman" w:hAnsi="Times New Roman" w:cs="Times New Roman"/>
        </w:rPr>
        <w:t>Another aspect which the</w:t>
      </w:r>
      <w:r w:rsidR="00CC74F3" w:rsidRPr="003129E1">
        <w:rPr>
          <w:rFonts w:ascii="Times New Roman" w:eastAsia="Times New Roman" w:hAnsi="Times New Roman" w:cs="Times New Roman"/>
        </w:rPr>
        <w:t xml:space="preserve"> Court</w:t>
      </w:r>
      <w:r w:rsidR="00A71C41" w:rsidRPr="003129E1">
        <w:rPr>
          <w:rFonts w:ascii="Times New Roman" w:eastAsia="Times New Roman" w:hAnsi="Times New Roman" w:cs="Times New Roman"/>
        </w:rPr>
        <w:t xml:space="preserve"> finds to be </w:t>
      </w:r>
      <w:r w:rsidR="00D77E24" w:rsidRPr="003129E1">
        <w:rPr>
          <w:rFonts w:ascii="Times New Roman" w:eastAsia="Times New Roman" w:hAnsi="Times New Roman" w:cs="Times New Roman"/>
        </w:rPr>
        <w:t>problematic</w:t>
      </w:r>
      <w:r w:rsidR="00840A3F" w:rsidRPr="003129E1">
        <w:rPr>
          <w:rFonts w:ascii="Times New Roman" w:eastAsia="Times New Roman" w:hAnsi="Times New Roman" w:cs="Times New Roman"/>
        </w:rPr>
        <w:t xml:space="preserve"> in</w:t>
      </w:r>
      <w:r w:rsidR="00FE720D" w:rsidRPr="003129E1">
        <w:rPr>
          <w:rFonts w:ascii="Times New Roman" w:eastAsia="Times New Roman" w:hAnsi="Times New Roman" w:cs="Times New Roman"/>
        </w:rPr>
        <w:t xml:space="preserve"> </w:t>
      </w:r>
      <w:r w:rsidR="00840A3F" w:rsidRPr="003129E1">
        <w:rPr>
          <w:rFonts w:ascii="Times New Roman" w:eastAsia="Times New Roman" w:hAnsi="Times New Roman" w:cs="Times New Roman"/>
        </w:rPr>
        <w:t>so</w:t>
      </w:r>
      <w:r w:rsidR="00FE720D" w:rsidRPr="003129E1">
        <w:rPr>
          <w:rFonts w:ascii="Times New Roman" w:eastAsia="Times New Roman" w:hAnsi="Times New Roman" w:cs="Times New Roman"/>
        </w:rPr>
        <w:t xml:space="preserve"> </w:t>
      </w:r>
      <w:r w:rsidR="00840A3F" w:rsidRPr="003129E1">
        <w:rPr>
          <w:rFonts w:ascii="Times New Roman" w:eastAsia="Times New Roman" w:hAnsi="Times New Roman" w:cs="Times New Roman"/>
        </w:rPr>
        <w:t>far as the</w:t>
      </w:r>
      <w:r w:rsidR="006C5929" w:rsidRPr="003129E1">
        <w:rPr>
          <w:rFonts w:ascii="Times New Roman" w:eastAsia="Times New Roman" w:hAnsi="Times New Roman" w:cs="Times New Roman"/>
        </w:rPr>
        <w:t xml:space="preserve"> thoroughness of the</w:t>
      </w:r>
      <w:r w:rsidR="00840A3F" w:rsidRPr="003129E1">
        <w:rPr>
          <w:rFonts w:ascii="Times New Roman" w:eastAsia="Times New Roman" w:hAnsi="Times New Roman" w:cs="Times New Roman"/>
        </w:rPr>
        <w:t xml:space="preserve"> investigation is concerned</w:t>
      </w:r>
      <w:r w:rsidR="00CC74F3" w:rsidRPr="003129E1">
        <w:rPr>
          <w:rFonts w:ascii="Times New Roman" w:eastAsia="Times New Roman" w:hAnsi="Times New Roman" w:cs="Times New Roman"/>
        </w:rPr>
        <w:t xml:space="preserve"> </w:t>
      </w:r>
      <w:r w:rsidR="00A71C41" w:rsidRPr="003129E1">
        <w:rPr>
          <w:rFonts w:ascii="Times New Roman" w:eastAsia="Times New Roman" w:hAnsi="Times New Roman" w:cs="Times New Roman"/>
        </w:rPr>
        <w:t>is t</w:t>
      </w:r>
      <w:r w:rsidR="00CC74F3" w:rsidRPr="003129E1">
        <w:rPr>
          <w:rFonts w:ascii="Times New Roman" w:eastAsia="Times New Roman" w:hAnsi="Times New Roman" w:cs="Times New Roman"/>
        </w:rPr>
        <w:t xml:space="preserve">he </w:t>
      </w:r>
      <w:r w:rsidR="00FF19B3" w:rsidRPr="003129E1">
        <w:rPr>
          <w:rFonts w:ascii="Times New Roman" w:eastAsia="Times New Roman" w:hAnsi="Times New Roman" w:cs="Times New Roman"/>
        </w:rPr>
        <w:t xml:space="preserve">extremely succinct </w:t>
      </w:r>
      <w:r w:rsidR="00CC74F3" w:rsidRPr="003129E1">
        <w:rPr>
          <w:rFonts w:ascii="Times New Roman" w:eastAsia="Times New Roman" w:hAnsi="Times New Roman" w:cs="Times New Roman"/>
        </w:rPr>
        <w:t xml:space="preserve">reasoning </w:t>
      </w:r>
      <w:r w:rsidR="00003AD9" w:rsidRPr="003129E1">
        <w:rPr>
          <w:rFonts w:ascii="Times New Roman" w:eastAsia="Times New Roman" w:hAnsi="Times New Roman" w:cs="Times New Roman"/>
        </w:rPr>
        <w:t xml:space="preserve">in </w:t>
      </w:r>
      <w:r w:rsidR="00DF6EB2" w:rsidRPr="003129E1">
        <w:rPr>
          <w:rFonts w:ascii="Times New Roman" w:eastAsia="Times New Roman" w:hAnsi="Times New Roman" w:cs="Times New Roman"/>
        </w:rPr>
        <w:t xml:space="preserve">the </w:t>
      </w:r>
      <w:r w:rsidR="007631B8" w:rsidRPr="003129E1">
        <w:rPr>
          <w:rFonts w:ascii="Times New Roman" w:eastAsia="Times New Roman" w:hAnsi="Times New Roman" w:cs="Times New Roman"/>
        </w:rPr>
        <w:t>prosecutor</w:t>
      </w:r>
      <w:r w:rsidR="003129E1" w:rsidRPr="003129E1">
        <w:rPr>
          <w:rFonts w:ascii="Times New Roman" w:eastAsia="Times New Roman" w:hAnsi="Times New Roman" w:cs="Times New Roman"/>
        </w:rPr>
        <w:t>’</w:t>
      </w:r>
      <w:r w:rsidR="007631B8" w:rsidRPr="003129E1">
        <w:rPr>
          <w:rFonts w:ascii="Times New Roman" w:eastAsia="Times New Roman" w:hAnsi="Times New Roman" w:cs="Times New Roman"/>
        </w:rPr>
        <w:t>s</w:t>
      </w:r>
      <w:r w:rsidR="00DF6EB2" w:rsidRPr="003129E1">
        <w:rPr>
          <w:rFonts w:ascii="Times New Roman" w:eastAsia="Times New Roman" w:hAnsi="Times New Roman" w:cs="Times New Roman"/>
        </w:rPr>
        <w:t xml:space="preserve"> request to discontinue </w:t>
      </w:r>
      <w:r w:rsidR="00FE720D" w:rsidRPr="003129E1">
        <w:rPr>
          <w:rFonts w:ascii="Times New Roman" w:eastAsia="Times New Roman" w:hAnsi="Times New Roman" w:cs="Times New Roman"/>
        </w:rPr>
        <w:t xml:space="preserve">the </w:t>
      </w:r>
      <w:r w:rsidR="00DF6EB2" w:rsidRPr="003129E1">
        <w:rPr>
          <w:rFonts w:ascii="Times New Roman" w:eastAsia="Times New Roman" w:hAnsi="Times New Roman" w:cs="Times New Roman"/>
        </w:rPr>
        <w:t xml:space="preserve">proceedings and the </w:t>
      </w:r>
      <w:r w:rsidR="000C69DD" w:rsidRPr="003129E1">
        <w:rPr>
          <w:rFonts w:ascii="Times New Roman" w:eastAsia="Times New Roman" w:hAnsi="Times New Roman" w:cs="Times New Roman"/>
        </w:rPr>
        <w:t>investigating judge</w:t>
      </w:r>
      <w:r w:rsidR="003129E1" w:rsidRPr="003129E1">
        <w:rPr>
          <w:rFonts w:ascii="Times New Roman" w:eastAsia="Times New Roman" w:hAnsi="Times New Roman" w:cs="Times New Roman"/>
        </w:rPr>
        <w:t>’</w:t>
      </w:r>
      <w:r w:rsidR="00DF6EB2" w:rsidRPr="003129E1">
        <w:rPr>
          <w:rFonts w:ascii="Times New Roman" w:eastAsia="Times New Roman" w:hAnsi="Times New Roman" w:cs="Times New Roman"/>
        </w:rPr>
        <w:t>s decision to that effect</w:t>
      </w:r>
      <w:r w:rsidR="003F6E55" w:rsidRPr="003129E1">
        <w:rPr>
          <w:rFonts w:ascii="Times New Roman" w:eastAsia="Times New Roman" w:hAnsi="Times New Roman" w:cs="Times New Roman"/>
        </w:rPr>
        <w:t xml:space="preserve"> (</w:t>
      </w:r>
      <w:r w:rsidR="00FB20D1" w:rsidRPr="003129E1">
        <w:rPr>
          <w:rFonts w:ascii="Times New Roman" w:eastAsia="Times New Roman" w:hAnsi="Times New Roman" w:cs="Times New Roman"/>
        </w:rPr>
        <w:t xml:space="preserve">see paragraphs </w:t>
      </w:r>
      <w:r w:rsidR="00F16000" w:rsidRPr="003129E1">
        <w:rPr>
          <w:rFonts w:ascii="Times New Roman" w:eastAsia="Times New Roman" w:hAnsi="Times New Roman" w:cs="Times New Roman"/>
        </w:rPr>
        <w:fldChar w:fldCharType="begin"/>
      </w:r>
      <w:r w:rsidR="00F16000" w:rsidRPr="003129E1">
        <w:rPr>
          <w:rFonts w:ascii="Times New Roman" w:eastAsia="Times New Roman" w:hAnsi="Times New Roman" w:cs="Times New Roman"/>
        </w:rPr>
        <w:instrText xml:space="preserve"> REF PM \h </w:instrText>
      </w:r>
      <w:r w:rsidR="00F16000" w:rsidRPr="003129E1">
        <w:rPr>
          <w:rFonts w:ascii="Times New Roman" w:eastAsia="Times New Roman" w:hAnsi="Times New Roman" w:cs="Times New Roman"/>
        </w:rPr>
      </w:r>
      <w:r w:rsidR="00F16000" w:rsidRPr="003129E1">
        <w:rPr>
          <w:rFonts w:ascii="Times New Roman" w:eastAsia="Times New Roman" w:hAnsi="Times New Roman" w:cs="Times New Roman"/>
        </w:rPr>
        <w:fldChar w:fldCharType="separate"/>
      </w:r>
      <w:r w:rsidR="003129E1" w:rsidRPr="003129E1">
        <w:rPr>
          <w:noProof/>
        </w:rPr>
        <w:t>19</w:t>
      </w:r>
      <w:r w:rsidR="00F16000" w:rsidRPr="003129E1">
        <w:rPr>
          <w:rFonts w:ascii="Times New Roman" w:eastAsia="Times New Roman" w:hAnsi="Times New Roman" w:cs="Times New Roman"/>
        </w:rPr>
        <w:fldChar w:fldCharType="end"/>
      </w:r>
      <w:r w:rsidR="00F16000" w:rsidRPr="003129E1">
        <w:rPr>
          <w:rFonts w:ascii="Times New Roman" w:eastAsia="Times New Roman" w:hAnsi="Times New Roman" w:cs="Times New Roman"/>
        </w:rPr>
        <w:t xml:space="preserve"> </w:t>
      </w:r>
      <w:r w:rsidR="00FB20D1" w:rsidRPr="003129E1">
        <w:rPr>
          <w:rFonts w:ascii="Times New Roman" w:eastAsia="Times New Roman" w:hAnsi="Times New Roman" w:cs="Times New Roman"/>
        </w:rPr>
        <w:t xml:space="preserve">and </w:t>
      </w:r>
      <w:r w:rsidR="00F16000" w:rsidRPr="003129E1">
        <w:rPr>
          <w:rFonts w:ascii="Times New Roman" w:eastAsia="Times New Roman" w:hAnsi="Times New Roman" w:cs="Times New Roman"/>
        </w:rPr>
        <w:fldChar w:fldCharType="begin"/>
      </w:r>
      <w:r w:rsidR="00F16000" w:rsidRPr="003129E1">
        <w:rPr>
          <w:rFonts w:ascii="Times New Roman" w:eastAsia="Times New Roman" w:hAnsi="Times New Roman" w:cs="Times New Roman"/>
        </w:rPr>
        <w:instrText xml:space="preserve"> REF Archiviazione \h </w:instrText>
      </w:r>
      <w:r w:rsidR="00F16000" w:rsidRPr="003129E1">
        <w:rPr>
          <w:rFonts w:ascii="Times New Roman" w:eastAsia="Times New Roman" w:hAnsi="Times New Roman" w:cs="Times New Roman"/>
        </w:rPr>
      </w:r>
      <w:r w:rsidR="00F16000" w:rsidRPr="003129E1">
        <w:rPr>
          <w:rFonts w:ascii="Times New Roman" w:eastAsia="Times New Roman" w:hAnsi="Times New Roman" w:cs="Times New Roman"/>
        </w:rPr>
        <w:fldChar w:fldCharType="separate"/>
      </w:r>
      <w:r w:rsidR="003129E1" w:rsidRPr="003129E1">
        <w:rPr>
          <w:noProof/>
        </w:rPr>
        <w:t>22</w:t>
      </w:r>
      <w:r w:rsidR="00F16000" w:rsidRPr="003129E1">
        <w:rPr>
          <w:rFonts w:ascii="Times New Roman" w:eastAsia="Times New Roman" w:hAnsi="Times New Roman" w:cs="Times New Roman"/>
        </w:rPr>
        <w:fldChar w:fldCharType="end"/>
      </w:r>
      <w:r w:rsidR="00F16000" w:rsidRPr="003129E1">
        <w:rPr>
          <w:rFonts w:ascii="Times New Roman" w:eastAsia="Times New Roman" w:hAnsi="Times New Roman" w:cs="Times New Roman"/>
        </w:rPr>
        <w:t xml:space="preserve"> </w:t>
      </w:r>
      <w:r w:rsidR="00FB20D1" w:rsidRPr="003129E1">
        <w:rPr>
          <w:rFonts w:ascii="Times New Roman" w:eastAsia="Times New Roman" w:hAnsi="Times New Roman" w:cs="Times New Roman"/>
        </w:rPr>
        <w:t>above</w:t>
      </w:r>
      <w:r w:rsidR="003F6E55" w:rsidRPr="003129E1">
        <w:rPr>
          <w:rFonts w:ascii="Times New Roman" w:eastAsia="Times New Roman" w:hAnsi="Times New Roman" w:cs="Times New Roman"/>
        </w:rPr>
        <w:t>)</w:t>
      </w:r>
      <w:r w:rsidR="00CC74F3" w:rsidRPr="003129E1">
        <w:rPr>
          <w:rFonts w:ascii="Times New Roman" w:eastAsia="Times New Roman" w:hAnsi="Times New Roman" w:cs="Times New Roman"/>
        </w:rPr>
        <w:t xml:space="preserve">. The Court </w:t>
      </w:r>
      <w:r w:rsidR="00C629F3" w:rsidRPr="003129E1">
        <w:rPr>
          <w:rFonts w:ascii="Times New Roman" w:eastAsia="Times New Roman" w:hAnsi="Times New Roman" w:cs="Times New Roman"/>
        </w:rPr>
        <w:t xml:space="preserve">underlines in this respect </w:t>
      </w:r>
      <w:r w:rsidR="00186BAB" w:rsidRPr="003129E1">
        <w:rPr>
          <w:rFonts w:ascii="Times New Roman" w:eastAsia="Times New Roman" w:hAnsi="Times New Roman" w:cs="Times New Roman"/>
        </w:rPr>
        <w:t>that the</w:t>
      </w:r>
      <w:r w:rsidR="00AA4032" w:rsidRPr="003129E1">
        <w:rPr>
          <w:rFonts w:ascii="Times New Roman" w:eastAsia="Times New Roman" w:hAnsi="Times New Roman" w:cs="Times New Roman"/>
        </w:rPr>
        <w:t xml:space="preserve"> </w:t>
      </w:r>
      <w:r w:rsidR="00FE720D" w:rsidRPr="003129E1">
        <w:rPr>
          <w:rFonts w:ascii="Times New Roman" w:eastAsia="Times New Roman" w:hAnsi="Times New Roman" w:cs="Times New Roman"/>
        </w:rPr>
        <w:t>p</w:t>
      </w:r>
      <w:r w:rsidR="00AA4032" w:rsidRPr="003129E1">
        <w:rPr>
          <w:rFonts w:ascii="Times New Roman" w:eastAsia="Times New Roman" w:hAnsi="Times New Roman" w:cs="Times New Roman"/>
        </w:rPr>
        <w:t>rosecutor</w:t>
      </w:r>
      <w:r w:rsidR="003129E1" w:rsidRPr="003129E1">
        <w:rPr>
          <w:rFonts w:ascii="Times New Roman" w:eastAsia="Times New Roman" w:hAnsi="Times New Roman" w:cs="Times New Roman"/>
        </w:rPr>
        <w:t>’</w:t>
      </w:r>
      <w:r w:rsidR="00AA4032" w:rsidRPr="003129E1">
        <w:rPr>
          <w:rFonts w:ascii="Times New Roman" w:eastAsia="Times New Roman" w:hAnsi="Times New Roman" w:cs="Times New Roman"/>
        </w:rPr>
        <w:t>s request</w:t>
      </w:r>
      <w:r w:rsidR="009E11FA" w:rsidRPr="003129E1">
        <w:rPr>
          <w:rFonts w:ascii="Times New Roman" w:eastAsia="Times New Roman" w:hAnsi="Times New Roman" w:cs="Times New Roman"/>
        </w:rPr>
        <w:t xml:space="preserve"> appear</w:t>
      </w:r>
      <w:r w:rsidR="00AA4032" w:rsidRPr="003129E1">
        <w:rPr>
          <w:rFonts w:ascii="Times New Roman" w:eastAsia="Times New Roman" w:hAnsi="Times New Roman" w:cs="Times New Roman"/>
        </w:rPr>
        <w:t>s</w:t>
      </w:r>
      <w:r w:rsidR="009E11FA" w:rsidRPr="003129E1">
        <w:rPr>
          <w:rFonts w:ascii="Times New Roman" w:eastAsia="Times New Roman" w:hAnsi="Times New Roman" w:cs="Times New Roman"/>
        </w:rPr>
        <w:t xml:space="preserve"> to be</w:t>
      </w:r>
      <w:r w:rsidR="00186BAB" w:rsidRPr="003129E1">
        <w:rPr>
          <w:rFonts w:ascii="Times New Roman" w:eastAsia="Times New Roman" w:hAnsi="Times New Roman" w:cs="Times New Roman"/>
        </w:rPr>
        <w:t xml:space="preserve"> </w:t>
      </w:r>
      <w:r w:rsidR="009E11FA" w:rsidRPr="003129E1">
        <w:rPr>
          <w:rFonts w:ascii="Times New Roman" w:eastAsia="Times New Roman" w:hAnsi="Times New Roman" w:cs="Times New Roman"/>
        </w:rPr>
        <w:t xml:space="preserve">drafted in a standardised manner. </w:t>
      </w:r>
      <w:r w:rsidR="005A337E" w:rsidRPr="003129E1">
        <w:rPr>
          <w:rFonts w:ascii="Times New Roman" w:eastAsia="Times New Roman" w:hAnsi="Times New Roman" w:cs="Times New Roman"/>
        </w:rPr>
        <w:t>The investigating judge</w:t>
      </w:r>
      <w:r w:rsidR="003129E1" w:rsidRPr="003129E1">
        <w:rPr>
          <w:rFonts w:ascii="Times New Roman" w:eastAsia="Times New Roman" w:hAnsi="Times New Roman" w:cs="Times New Roman"/>
        </w:rPr>
        <w:t>’</w:t>
      </w:r>
      <w:r w:rsidR="005A337E" w:rsidRPr="003129E1">
        <w:rPr>
          <w:rFonts w:ascii="Times New Roman" w:eastAsia="Times New Roman" w:hAnsi="Times New Roman" w:cs="Times New Roman"/>
        </w:rPr>
        <w:t>s decision</w:t>
      </w:r>
      <w:r w:rsidR="00C14F74" w:rsidRPr="003129E1">
        <w:rPr>
          <w:rFonts w:ascii="Times New Roman" w:eastAsia="Times New Roman" w:hAnsi="Times New Roman" w:cs="Times New Roman"/>
        </w:rPr>
        <w:t xml:space="preserve"> </w:t>
      </w:r>
      <w:r w:rsidR="00833172" w:rsidRPr="003129E1">
        <w:rPr>
          <w:rFonts w:ascii="Times New Roman" w:eastAsia="Times New Roman" w:hAnsi="Times New Roman" w:cs="Times New Roman"/>
        </w:rPr>
        <w:t>is similarly laconic</w:t>
      </w:r>
      <w:r w:rsidR="009B1254" w:rsidRPr="003129E1">
        <w:rPr>
          <w:rFonts w:ascii="Times New Roman" w:eastAsia="Times New Roman" w:hAnsi="Times New Roman" w:cs="Times New Roman"/>
        </w:rPr>
        <w:t xml:space="preserve">. </w:t>
      </w:r>
      <w:r w:rsidR="00FE720D" w:rsidRPr="003129E1">
        <w:rPr>
          <w:rFonts w:ascii="Times New Roman" w:eastAsia="Times New Roman" w:hAnsi="Times New Roman" w:cs="Times New Roman"/>
        </w:rPr>
        <w:t xml:space="preserve">It </w:t>
      </w:r>
      <w:r w:rsidR="00544592" w:rsidRPr="003129E1">
        <w:rPr>
          <w:rFonts w:ascii="Times New Roman" w:eastAsia="Times New Roman" w:hAnsi="Times New Roman" w:cs="Times New Roman"/>
        </w:rPr>
        <w:t>contains</w:t>
      </w:r>
      <w:r w:rsidR="00D20A88" w:rsidRPr="003129E1">
        <w:rPr>
          <w:rFonts w:ascii="Times New Roman" w:eastAsia="Times New Roman" w:hAnsi="Times New Roman" w:cs="Times New Roman"/>
        </w:rPr>
        <w:t xml:space="preserve"> </w:t>
      </w:r>
      <w:r w:rsidR="007B3260" w:rsidRPr="003129E1">
        <w:rPr>
          <w:rFonts w:ascii="Times New Roman" w:eastAsia="Times New Roman" w:hAnsi="Times New Roman" w:cs="Times New Roman"/>
        </w:rPr>
        <w:t xml:space="preserve">generic </w:t>
      </w:r>
      <w:r w:rsidR="00181A65" w:rsidRPr="003129E1">
        <w:rPr>
          <w:rFonts w:ascii="Times New Roman" w:eastAsia="Times New Roman" w:hAnsi="Times New Roman" w:cs="Times New Roman"/>
        </w:rPr>
        <w:t>formulation</w:t>
      </w:r>
      <w:r w:rsidR="007779AC" w:rsidRPr="003129E1">
        <w:rPr>
          <w:rFonts w:ascii="Times New Roman" w:eastAsia="Times New Roman" w:hAnsi="Times New Roman" w:cs="Times New Roman"/>
        </w:rPr>
        <w:t>s</w:t>
      </w:r>
      <w:r w:rsidR="00A52F96" w:rsidRPr="003129E1">
        <w:rPr>
          <w:rFonts w:ascii="Times New Roman" w:eastAsia="Times New Roman" w:hAnsi="Times New Roman" w:cs="Times New Roman"/>
        </w:rPr>
        <w:t xml:space="preserve"> to the effect that </w:t>
      </w:r>
      <w:r w:rsidR="002D10F2" w:rsidRPr="003129E1">
        <w:rPr>
          <w:rFonts w:ascii="Times New Roman" w:eastAsia="Times New Roman" w:hAnsi="Times New Roman" w:cs="Times New Roman"/>
        </w:rPr>
        <w:t xml:space="preserve">the evidence gathered during the preliminary investigation </w:t>
      </w:r>
      <w:r w:rsidR="00FE720D" w:rsidRPr="003129E1">
        <w:rPr>
          <w:rFonts w:ascii="Times New Roman" w:eastAsia="Times New Roman" w:hAnsi="Times New Roman" w:cs="Times New Roman"/>
        </w:rPr>
        <w:t xml:space="preserve">was </w:t>
      </w:r>
      <w:r w:rsidR="002D10F2" w:rsidRPr="003129E1">
        <w:rPr>
          <w:rFonts w:ascii="Times New Roman" w:eastAsia="Times New Roman" w:hAnsi="Times New Roman" w:cs="Times New Roman"/>
        </w:rPr>
        <w:t>not sufficient to warrant indict</w:t>
      </w:r>
      <w:r w:rsidR="00FE720D" w:rsidRPr="003129E1">
        <w:rPr>
          <w:rFonts w:ascii="Times New Roman" w:eastAsia="Times New Roman" w:hAnsi="Times New Roman" w:cs="Times New Roman"/>
        </w:rPr>
        <w:t xml:space="preserve">ing </w:t>
      </w:r>
      <w:r w:rsidR="002D10F2" w:rsidRPr="003129E1">
        <w:rPr>
          <w:rFonts w:ascii="Times New Roman" w:eastAsia="Times New Roman" w:hAnsi="Times New Roman" w:cs="Times New Roman"/>
        </w:rPr>
        <w:t>the officers and that the victim</w:t>
      </w:r>
      <w:r w:rsidR="003129E1" w:rsidRPr="003129E1">
        <w:rPr>
          <w:rFonts w:ascii="Times New Roman" w:eastAsia="Times New Roman" w:hAnsi="Times New Roman" w:cs="Times New Roman"/>
        </w:rPr>
        <w:t>’</w:t>
      </w:r>
      <w:r w:rsidR="002D10F2" w:rsidRPr="003129E1">
        <w:rPr>
          <w:rFonts w:ascii="Times New Roman" w:eastAsia="Times New Roman" w:hAnsi="Times New Roman" w:cs="Times New Roman"/>
        </w:rPr>
        <w:t>s allegations ha</w:t>
      </w:r>
      <w:r w:rsidR="00FE720D" w:rsidRPr="003129E1">
        <w:rPr>
          <w:rFonts w:ascii="Times New Roman" w:eastAsia="Times New Roman" w:hAnsi="Times New Roman" w:cs="Times New Roman"/>
        </w:rPr>
        <w:t>ve</w:t>
      </w:r>
      <w:r w:rsidR="002D10F2" w:rsidRPr="003129E1">
        <w:rPr>
          <w:rFonts w:ascii="Times New Roman" w:eastAsia="Times New Roman" w:hAnsi="Times New Roman" w:cs="Times New Roman"/>
        </w:rPr>
        <w:t xml:space="preserve"> not been corroborated.</w:t>
      </w:r>
      <w:r w:rsidR="00D42442" w:rsidRPr="003129E1">
        <w:rPr>
          <w:rFonts w:ascii="Times New Roman" w:eastAsia="Times New Roman" w:hAnsi="Times New Roman" w:cs="Times New Roman"/>
        </w:rPr>
        <w:t xml:space="preserve"> </w:t>
      </w:r>
      <w:r w:rsidR="00F33118" w:rsidRPr="003129E1">
        <w:rPr>
          <w:rFonts w:ascii="Times New Roman" w:eastAsia="Times New Roman" w:hAnsi="Times New Roman" w:cs="Times New Roman"/>
        </w:rPr>
        <w:t>No informat</w:t>
      </w:r>
      <w:r w:rsidR="00C96D10" w:rsidRPr="003129E1">
        <w:rPr>
          <w:rFonts w:ascii="Times New Roman" w:eastAsia="Times New Roman" w:hAnsi="Times New Roman" w:cs="Times New Roman"/>
        </w:rPr>
        <w:t xml:space="preserve">ion can be gleaned from the request and the decision </w:t>
      </w:r>
      <w:r w:rsidR="00F33118" w:rsidRPr="003129E1">
        <w:rPr>
          <w:rFonts w:ascii="Times New Roman" w:eastAsia="Times New Roman" w:hAnsi="Times New Roman" w:cs="Times New Roman"/>
        </w:rPr>
        <w:t>regarding the</w:t>
      </w:r>
      <w:r w:rsidR="0023291E" w:rsidRPr="003129E1">
        <w:rPr>
          <w:rFonts w:ascii="Times New Roman" w:eastAsia="Times New Roman" w:hAnsi="Times New Roman" w:cs="Times New Roman"/>
        </w:rPr>
        <w:t xml:space="preserve"> reconstruction of the facts, the</w:t>
      </w:r>
      <w:r w:rsidR="00F33118" w:rsidRPr="003129E1">
        <w:rPr>
          <w:rFonts w:ascii="Times New Roman" w:eastAsia="Times New Roman" w:hAnsi="Times New Roman" w:cs="Times New Roman"/>
        </w:rPr>
        <w:t xml:space="preserve"> </w:t>
      </w:r>
      <w:r w:rsidR="00EC003F" w:rsidRPr="003129E1">
        <w:rPr>
          <w:rFonts w:ascii="Times New Roman" w:eastAsia="Times New Roman" w:hAnsi="Times New Roman" w:cs="Times New Roman"/>
        </w:rPr>
        <w:t xml:space="preserve">possible </w:t>
      </w:r>
      <w:r w:rsidR="00F33118" w:rsidRPr="003129E1">
        <w:rPr>
          <w:rFonts w:ascii="Times New Roman" w:eastAsia="Times New Roman" w:hAnsi="Times New Roman" w:cs="Times New Roman"/>
        </w:rPr>
        <w:t>causes of the</w:t>
      </w:r>
      <w:r w:rsidR="0023291E" w:rsidRPr="003129E1">
        <w:rPr>
          <w:rFonts w:ascii="Times New Roman" w:eastAsia="Times New Roman" w:hAnsi="Times New Roman" w:cs="Times New Roman"/>
        </w:rPr>
        <w:t xml:space="preserve"> applicant</w:t>
      </w:r>
      <w:r w:rsidR="003129E1" w:rsidRPr="003129E1">
        <w:rPr>
          <w:rFonts w:ascii="Times New Roman" w:eastAsia="Times New Roman" w:hAnsi="Times New Roman" w:cs="Times New Roman"/>
        </w:rPr>
        <w:t>’</w:t>
      </w:r>
      <w:r w:rsidR="0023291E" w:rsidRPr="003129E1">
        <w:rPr>
          <w:rFonts w:ascii="Times New Roman" w:eastAsia="Times New Roman" w:hAnsi="Times New Roman" w:cs="Times New Roman"/>
        </w:rPr>
        <w:t>s injuries</w:t>
      </w:r>
      <w:r w:rsidR="00003AD9" w:rsidRPr="003129E1">
        <w:rPr>
          <w:rFonts w:ascii="Times New Roman" w:eastAsia="Times New Roman" w:hAnsi="Times New Roman" w:cs="Times New Roman"/>
        </w:rPr>
        <w:t xml:space="preserve">, </w:t>
      </w:r>
      <w:r w:rsidR="0023291E" w:rsidRPr="003129E1">
        <w:rPr>
          <w:rFonts w:ascii="Times New Roman" w:eastAsia="Times New Roman" w:hAnsi="Times New Roman" w:cs="Times New Roman"/>
        </w:rPr>
        <w:t xml:space="preserve">the nature of </w:t>
      </w:r>
      <w:r w:rsidR="00FE720D" w:rsidRPr="003129E1">
        <w:rPr>
          <w:rFonts w:ascii="Times New Roman" w:eastAsia="Times New Roman" w:hAnsi="Times New Roman" w:cs="Times New Roman"/>
        </w:rPr>
        <w:t xml:space="preserve">the </w:t>
      </w:r>
      <w:r w:rsidR="0023291E" w:rsidRPr="003129E1">
        <w:rPr>
          <w:rFonts w:ascii="Times New Roman" w:eastAsia="Times New Roman" w:hAnsi="Times New Roman" w:cs="Times New Roman"/>
        </w:rPr>
        <w:t xml:space="preserve">force used, or the elements relied on </w:t>
      </w:r>
      <w:r w:rsidR="00EC003F" w:rsidRPr="003129E1">
        <w:rPr>
          <w:rFonts w:ascii="Times New Roman" w:eastAsia="Times New Roman" w:hAnsi="Times New Roman" w:cs="Times New Roman"/>
        </w:rPr>
        <w:t>by</w:t>
      </w:r>
      <w:r w:rsidR="0023291E" w:rsidRPr="003129E1">
        <w:rPr>
          <w:rFonts w:ascii="Times New Roman" w:eastAsia="Times New Roman" w:hAnsi="Times New Roman" w:cs="Times New Roman"/>
        </w:rPr>
        <w:t xml:space="preserve"> the prosecutor and investigating judge to request and order the discontinuance of the proceedings.</w:t>
      </w:r>
    </w:p>
    <w:p w:rsidR="009E7C75" w:rsidRPr="003129E1" w:rsidRDefault="006D65FD" w:rsidP="003129E1">
      <w:pPr>
        <w:pStyle w:val="ECHRPara"/>
        <w:rPr>
          <w:rFonts w:ascii="Times New Roman" w:eastAsia="Times New Roman" w:hAnsi="Times New Roman" w:cs="Times New Roman"/>
        </w:rPr>
      </w:pPr>
      <w:r w:rsidRPr="003129E1">
        <w:rPr>
          <w:rFonts w:ascii="Times New Roman" w:eastAsia="Times New Roman" w:hAnsi="Times New Roman" w:cs="Times New Roman"/>
        </w:rPr>
        <w:fldChar w:fldCharType="begin"/>
      </w:r>
      <w:r w:rsidRPr="003129E1">
        <w:rPr>
          <w:rFonts w:ascii="Times New Roman" w:eastAsia="Times New Roman" w:hAnsi="Times New Roman" w:cs="Times New Roman"/>
        </w:rPr>
        <w:instrText xml:space="preserve"> SEQ level0 \*arabic </w:instrText>
      </w:r>
      <w:r w:rsidRPr="003129E1">
        <w:rPr>
          <w:rFonts w:ascii="Times New Roman" w:eastAsia="Times New Roman" w:hAnsi="Times New Roman" w:cs="Times New Roman"/>
        </w:rPr>
        <w:fldChar w:fldCharType="separate"/>
      </w:r>
      <w:r w:rsidR="003129E1" w:rsidRPr="003129E1">
        <w:rPr>
          <w:rFonts w:ascii="Times New Roman" w:eastAsia="Times New Roman" w:hAnsi="Times New Roman" w:cs="Times New Roman"/>
          <w:noProof/>
        </w:rPr>
        <w:t>53</w:t>
      </w:r>
      <w:r w:rsidRPr="003129E1">
        <w:rPr>
          <w:rFonts w:ascii="Times New Roman" w:eastAsia="Times New Roman" w:hAnsi="Times New Roman" w:cs="Times New Roman"/>
        </w:rPr>
        <w:fldChar w:fldCharType="end"/>
      </w:r>
      <w:r w:rsidRPr="003129E1">
        <w:rPr>
          <w:rFonts w:ascii="Times New Roman" w:eastAsia="Times New Roman" w:hAnsi="Times New Roman" w:cs="Times New Roman"/>
        </w:rPr>
        <w:t>.  </w:t>
      </w:r>
      <w:r w:rsidR="00D64F6D" w:rsidRPr="003129E1">
        <w:rPr>
          <w:rFonts w:ascii="Times New Roman" w:eastAsia="Times New Roman" w:hAnsi="Times New Roman" w:cs="Times New Roman"/>
        </w:rPr>
        <w:t xml:space="preserve">The Court notes </w:t>
      </w:r>
      <w:r w:rsidR="00FE720D" w:rsidRPr="003129E1">
        <w:rPr>
          <w:rFonts w:ascii="Times New Roman" w:eastAsia="Times New Roman" w:hAnsi="Times New Roman" w:cs="Times New Roman"/>
        </w:rPr>
        <w:t xml:space="preserve">further </w:t>
      </w:r>
      <w:r w:rsidR="00D64F6D" w:rsidRPr="003129E1">
        <w:rPr>
          <w:rFonts w:ascii="Times New Roman" w:eastAsia="Times New Roman" w:hAnsi="Times New Roman" w:cs="Times New Roman"/>
        </w:rPr>
        <w:t xml:space="preserve">that </w:t>
      </w:r>
      <w:r w:rsidR="00003AD9" w:rsidRPr="003129E1">
        <w:rPr>
          <w:rFonts w:ascii="Times New Roman" w:eastAsia="Times New Roman" w:hAnsi="Times New Roman" w:cs="Times New Roman"/>
        </w:rPr>
        <w:t xml:space="preserve">the investigating judge gave </w:t>
      </w:r>
      <w:r w:rsidRPr="003129E1">
        <w:rPr>
          <w:rFonts w:ascii="Times New Roman" w:eastAsia="Times New Roman" w:hAnsi="Times New Roman" w:cs="Times New Roman"/>
        </w:rPr>
        <w:t xml:space="preserve">no reasons </w:t>
      </w:r>
      <w:r w:rsidR="00003AD9" w:rsidRPr="003129E1">
        <w:rPr>
          <w:rFonts w:ascii="Times New Roman" w:eastAsia="Times New Roman" w:hAnsi="Times New Roman" w:cs="Times New Roman"/>
        </w:rPr>
        <w:t xml:space="preserve">for </w:t>
      </w:r>
      <w:r w:rsidR="009B55FA" w:rsidRPr="003129E1">
        <w:rPr>
          <w:rFonts w:ascii="Times New Roman" w:eastAsia="Times New Roman" w:hAnsi="Times New Roman" w:cs="Times New Roman"/>
        </w:rPr>
        <w:t>den</w:t>
      </w:r>
      <w:r w:rsidR="00003AD9" w:rsidRPr="003129E1">
        <w:rPr>
          <w:rFonts w:ascii="Times New Roman" w:eastAsia="Times New Roman" w:hAnsi="Times New Roman" w:cs="Times New Roman"/>
        </w:rPr>
        <w:t>y</w:t>
      </w:r>
      <w:r w:rsidR="00430162" w:rsidRPr="003129E1">
        <w:rPr>
          <w:rFonts w:ascii="Times New Roman" w:eastAsia="Times New Roman" w:hAnsi="Times New Roman" w:cs="Times New Roman"/>
        </w:rPr>
        <w:t>ing</w:t>
      </w:r>
      <w:r w:rsidR="004575CC" w:rsidRPr="003129E1">
        <w:rPr>
          <w:rFonts w:ascii="Times New Roman" w:eastAsia="Times New Roman" w:hAnsi="Times New Roman" w:cs="Times New Roman"/>
        </w:rPr>
        <w:t xml:space="preserve"> the</w:t>
      </w:r>
      <w:r w:rsidR="00AA3E97" w:rsidRPr="003129E1">
        <w:rPr>
          <w:rFonts w:ascii="Times New Roman" w:eastAsia="Times New Roman" w:hAnsi="Times New Roman" w:cs="Times New Roman"/>
        </w:rPr>
        <w:t xml:space="preserve"> applicant</w:t>
      </w:r>
      <w:r w:rsidR="003129E1" w:rsidRPr="003129E1">
        <w:rPr>
          <w:rFonts w:ascii="Times New Roman" w:eastAsia="Times New Roman" w:hAnsi="Times New Roman" w:cs="Times New Roman"/>
        </w:rPr>
        <w:t>’</w:t>
      </w:r>
      <w:r w:rsidR="00AA3E97" w:rsidRPr="003129E1">
        <w:rPr>
          <w:rFonts w:ascii="Times New Roman" w:eastAsia="Times New Roman" w:hAnsi="Times New Roman" w:cs="Times New Roman"/>
        </w:rPr>
        <w:t xml:space="preserve">s </w:t>
      </w:r>
      <w:r w:rsidR="00003AD9" w:rsidRPr="003129E1">
        <w:rPr>
          <w:rFonts w:ascii="Times New Roman" w:eastAsia="Times New Roman" w:hAnsi="Times New Roman" w:cs="Times New Roman"/>
        </w:rPr>
        <w:t xml:space="preserve">request for </w:t>
      </w:r>
      <w:r w:rsidR="00430162" w:rsidRPr="003129E1">
        <w:rPr>
          <w:rFonts w:ascii="Times New Roman" w:eastAsia="Times New Roman" w:hAnsi="Times New Roman" w:cs="Times New Roman"/>
        </w:rPr>
        <w:t>additional</w:t>
      </w:r>
      <w:r w:rsidR="004575CC" w:rsidRPr="003129E1">
        <w:rPr>
          <w:rFonts w:ascii="Times New Roman" w:eastAsia="Times New Roman" w:hAnsi="Times New Roman" w:cs="Times New Roman"/>
        </w:rPr>
        <w:t xml:space="preserve"> acts of investigation</w:t>
      </w:r>
      <w:r w:rsidRPr="003129E1">
        <w:rPr>
          <w:rFonts w:ascii="Times New Roman" w:eastAsia="Times New Roman" w:hAnsi="Times New Roman" w:cs="Times New Roman"/>
        </w:rPr>
        <w:t>.</w:t>
      </w:r>
      <w:r w:rsidR="00BE3D37" w:rsidRPr="003129E1">
        <w:rPr>
          <w:rFonts w:ascii="Times New Roman" w:eastAsia="Times New Roman" w:hAnsi="Times New Roman" w:cs="Times New Roman"/>
        </w:rPr>
        <w:t xml:space="preserve"> The decision </w:t>
      </w:r>
      <w:r w:rsidR="009246ED" w:rsidRPr="003129E1">
        <w:rPr>
          <w:rFonts w:ascii="Times New Roman" w:eastAsia="Times New Roman" w:hAnsi="Times New Roman" w:cs="Times New Roman"/>
        </w:rPr>
        <w:t xml:space="preserve">contains a generic dismissal </w:t>
      </w:r>
      <w:r w:rsidR="00A91044" w:rsidRPr="003129E1">
        <w:rPr>
          <w:rFonts w:ascii="Times New Roman" w:eastAsia="Times New Roman" w:hAnsi="Times New Roman" w:cs="Times New Roman"/>
        </w:rPr>
        <w:t>to the effect that</w:t>
      </w:r>
      <w:r w:rsidR="00BE3D37" w:rsidRPr="003129E1">
        <w:rPr>
          <w:rFonts w:ascii="Times New Roman" w:eastAsia="Times New Roman" w:hAnsi="Times New Roman" w:cs="Times New Roman"/>
        </w:rPr>
        <w:t xml:space="preserve"> the further measures </w:t>
      </w:r>
      <w:r w:rsidR="00225F2D" w:rsidRPr="003129E1">
        <w:rPr>
          <w:rFonts w:ascii="Times New Roman" w:eastAsia="Times New Roman" w:hAnsi="Times New Roman" w:cs="Times New Roman"/>
        </w:rPr>
        <w:t xml:space="preserve">would </w:t>
      </w:r>
      <w:r w:rsidR="00003AD9" w:rsidRPr="003129E1">
        <w:rPr>
          <w:rFonts w:ascii="Times New Roman" w:eastAsia="Times New Roman" w:hAnsi="Times New Roman" w:cs="Times New Roman"/>
        </w:rPr>
        <w:t xml:space="preserve">have </w:t>
      </w:r>
      <w:r w:rsidR="00225F2D" w:rsidRPr="003129E1">
        <w:rPr>
          <w:rFonts w:ascii="Times New Roman" w:eastAsia="Times New Roman" w:hAnsi="Times New Roman" w:cs="Times New Roman"/>
        </w:rPr>
        <w:t>“</w:t>
      </w:r>
      <w:r w:rsidR="00003AD9" w:rsidRPr="003129E1">
        <w:rPr>
          <w:rFonts w:ascii="Times New Roman" w:eastAsia="Times New Roman" w:hAnsi="Times New Roman" w:cs="Times New Roman"/>
        </w:rPr>
        <w:t>no influence whatsoever</w:t>
      </w:r>
      <w:r w:rsidR="00225F2D" w:rsidRPr="003129E1">
        <w:rPr>
          <w:rFonts w:ascii="Times New Roman" w:eastAsia="Times New Roman" w:hAnsi="Times New Roman" w:cs="Times New Roman"/>
        </w:rPr>
        <w:t>”.</w:t>
      </w:r>
    </w:p>
    <w:p w:rsidR="009E7C75" w:rsidRPr="003129E1" w:rsidRDefault="0039797E" w:rsidP="003129E1">
      <w:pPr>
        <w:pStyle w:val="ECHRPara"/>
        <w:rPr>
          <w:rFonts w:ascii="Times New Roman" w:eastAsia="Times New Roman" w:hAnsi="Times New Roman" w:cs="Times New Roman"/>
        </w:rPr>
      </w:pPr>
      <w:r w:rsidRPr="003129E1">
        <w:rPr>
          <w:rFonts w:ascii="Times New Roman" w:eastAsia="Times New Roman" w:hAnsi="Times New Roman" w:cs="Times New Roman"/>
        </w:rPr>
        <w:fldChar w:fldCharType="begin"/>
      </w:r>
      <w:r w:rsidRPr="003129E1">
        <w:rPr>
          <w:rFonts w:ascii="Times New Roman" w:eastAsia="Times New Roman" w:hAnsi="Times New Roman" w:cs="Times New Roman"/>
        </w:rPr>
        <w:instrText xml:space="preserve"> SEQ level0 \*arabic </w:instrText>
      </w:r>
      <w:r w:rsidRPr="003129E1">
        <w:rPr>
          <w:rFonts w:ascii="Times New Roman" w:eastAsia="Times New Roman" w:hAnsi="Times New Roman" w:cs="Times New Roman"/>
        </w:rPr>
        <w:fldChar w:fldCharType="separate"/>
      </w:r>
      <w:r w:rsidR="003129E1" w:rsidRPr="003129E1">
        <w:rPr>
          <w:rFonts w:ascii="Times New Roman" w:eastAsia="Times New Roman" w:hAnsi="Times New Roman" w:cs="Times New Roman"/>
          <w:noProof/>
        </w:rPr>
        <w:t>54</w:t>
      </w:r>
      <w:r w:rsidRPr="003129E1">
        <w:rPr>
          <w:rFonts w:ascii="Times New Roman" w:eastAsia="Times New Roman" w:hAnsi="Times New Roman" w:cs="Times New Roman"/>
        </w:rPr>
        <w:fldChar w:fldCharType="end"/>
      </w:r>
      <w:r w:rsidRPr="003129E1">
        <w:rPr>
          <w:rFonts w:ascii="Times New Roman" w:eastAsia="Times New Roman" w:hAnsi="Times New Roman" w:cs="Times New Roman"/>
        </w:rPr>
        <w:t>.  </w:t>
      </w:r>
      <w:r w:rsidR="003F4BBD" w:rsidRPr="003129E1">
        <w:rPr>
          <w:rFonts w:ascii="Times New Roman" w:eastAsia="Times New Roman" w:hAnsi="Times New Roman" w:cs="Times New Roman"/>
        </w:rPr>
        <w:t>Th</w:t>
      </w:r>
      <w:r w:rsidR="00FE720D" w:rsidRPr="003129E1">
        <w:rPr>
          <w:rFonts w:ascii="Times New Roman" w:eastAsia="Times New Roman" w:hAnsi="Times New Roman" w:cs="Times New Roman"/>
        </w:rPr>
        <w:t>o</w:t>
      </w:r>
      <w:r w:rsidR="003F4BBD" w:rsidRPr="003129E1">
        <w:rPr>
          <w:rFonts w:ascii="Times New Roman" w:eastAsia="Times New Roman" w:hAnsi="Times New Roman" w:cs="Times New Roman"/>
        </w:rPr>
        <w:t xml:space="preserve">se considerations are sufficient for the Court to conclude </w:t>
      </w:r>
      <w:r w:rsidR="00814085" w:rsidRPr="003129E1">
        <w:rPr>
          <w:rFonts w:ascii="Times New Roman" w:eastAsia="Times New Roman" w:hAnsi="Times New Roman" w:cs="Times New Roman"/>
        </w:rPr>
        <w:t>that the</w:t>
      </w:r>
      <w:r w:rsidRPr="003129E1">
        <w:rPr>
          <w:rFonts w:ascii="Times New Roman" w:eastAsia="Times New Roman" w:hAnsi="Times New Roman" w:cs="Times New Roman"/>
        </w:rPr>
        <w:t xml:space="preserve"> investigating authorities failed to devote the requisite attention to the applicants</w:t>
      </w:r>
      <w:r w:rsidR="003129E1" w:rsidRPr="003129E1">
        <w:rPr>
          <w:rFonts w:ascii="Times New Roman" w:eastAsia="Times New Roman" w:hAnsi="Times New Roman" w:cs="Times New Roman"/>
        </w:rPr>
        <w:t>’</w:t>
      </w:r>
      <w:r w:rsidRPr="003129E1">
        <w:rPr>
          <w:rFonts w:ascii="Times New Roman" w:eastAsia="Times New Roman" w:hAnsi="Times New Roman" w:cs="Times New Roman"/>
        </w:rPr>
        <w:t xml:space="preserve"> allegations</w:t>
      </w:r>
      <w:r w:rsidR="00B124C6" w:rsidRPr="003129E1">
        <w:rPr>
          <w:rFonts w:ascii="Times New Roman" w:eastAsia="Times New Roman" w:hAnsi="Times New Roman" w:cs="Times New Roman"/>
        </w:rPr>
        <w:t xml:space="preserve"> concerning the events that occurred at the </w:t>
      </w:r>
      <w:r w:rsidR="00003AD9" w:rsidRPr="003129E1">
        <w:rPr>
          <w:rFonts w:ascii="Times New Roman" w:eastAsia="Times New Roman" w:hAnsi="Times New Roman" w:cs="Times New Roman"/>
        </w:rPr>
        <w:t>m</w:t>
      </w:r>
      <w:r w:rsidR="00B124C6" w:rsidRPr="003129E1">
        <w:rPr>
          <w:rFonts w:ascii="Times New Roman" w:eastAsia="Times New Roman" w:hAnsi="Times New Roman" w:cs="Times New Roman"/>
        </w:rPr>
        <w:t xml:space="preserve">unicipal </w:t>
      </w:r>
      <w:r w:rsidR="00FE720D" w:rsidRPr="003129E1">
        <w:rPr>
          <w:rFonts w:ascii="Times New Roman" w:eastAsia="Times New Roman" w:hAnsi="Times New Roman" w:cs="Times New Roman"/>
        </w:rPr>
        <w:t>p</w:t>
      </w:r>
      <w:r w:rsidR="00B124C6" w:rsidRPr="003129E1">
        <w:rPr>
          <w:rFonts w:ascii="Times New Roman" w:eastAsia="Times New Roman" w:hAnsi="Times New Roman" w:cs="Times New Roman"/>
        </w:rPr>
        <w:t>olice station</w:t>
      </w:r>
      <w:r w:rsidRPr="003129E1">
        <w:rPr>
          <w:rFonts w:ascii="Times New Roman" w:eastAsia="Times New Roman" w:hAnsi="Times New Roman" w:cs="Times New Roman"/>
        </w:rPr>
        <w:t xml:space="preserve"> despite the nature of the alleged act</w:t>
      </w:r>
      <w:r w:rsidR="002E5776" w:rsidRPr="003129E1">
        <w:rPr>
          <w:rFonts w:ascii="Times New Roman" w:eastAsia="Times New Roman" w:hAnsi="Times New Roman" w:cs="Times New Roman"/>
        </w:rPr>
        <w:t>s</w:t>
      </w:r>
      <w:r w:rsidRPr="003129E1">
        <w:rPr>
          <w:rFonts w:ascii="Times New Roman" w:eastAsia="Times New Roman" w:hAnsi="Times New Roman" w:cs="Times New Roman"/>
        </w:rPr>
        <w:t>, involving law-enforcement officers using force and causing injuries to a person under their control. The effect of the shortcomings</w:t>
      </w:r>
      <w:r w:rsidR="002E5776" w:rsidRPr="003129E1">
        <w:rPr>
          <w:rFonts w:ascii="Times New Roman" w:eastAsia="Times New Roman" w:hAnsi="Times New Roman" w:cs="Times New Roman"/>
        </w:rPr>
        <w:t xml:space="preserve"> identified above </w:t>
      </w:r>
      <w:r w:rsidRPr="003129E1">
        <w:rPr>
          <w:rFonts w:ascii="Times New Roman" w:eastAsia="Times New Roman" w:hAnsi="Times New Roman" w:cs="Times New Roman"/>
        </w:rPr>
        <w:t>entailed</w:t>
      </w:r>
      <w:r w:rsidR="0051219F" w:rsidRPr="003129E1">
        <w:rPr>
          <w:rFonts w:ascii="Times New Roman" w:eastAsia="Times New Roman" w:hAnsi="Times New Roman" w:cs="Times New Roman"/>
        </w:rPr>
        <w:t>, in practice,</w:t>
      </w:r>
      <w:r w:rsidRPr="003129E1">
        <w:rPr>
          <w:rFonts w:ascii="Times New Roman" w:eastAsia="Times New Roman" w:hAnsi="Times New Roman" w:cs="Times New Roman"/>
        </w:rPr>
        <w:t xml:space="preserve"> a failure to shed light on important aspects of the impugned events</w:t>
      </w:r>
      <w:r w:rsidR="00934170" w:rsidRPr="003129E1">
        <w:rPr>
          <w:rFonts w:ascii="Times New Roman" w:eastAsia="Times New Roman" w:hAnsi="Times New Roman" w:cs="Times New Roman"/>
        </w:rPr>
        <w:t>, the circumstances</w:t>
      </w:r>
      <w:r w:rsidR="00A5623E" w:rsidRPr="003129E1">
        <w:rPr>
          <w:rFonts w:ascii="Times New Roman" w:eastAsia="Times New Roman" w:hAnsi="Times New Roman" w:cs="Times New Roman"/>
        </w:rPr>
        <w:t xml:space="preserve"> surrounding the use of force by the police against the applicant</w:t>
      </w:r>
      <w:r w:rsidR="00934170" w:rsidRPr="003129E1">
        <w:rPr>
          <w:rFonts w:ascii="Times New Roman" w:eastAsia="Times New Roman" w:hAnsi="Times New Roman" w:cs="Times New Roman"/>
        </w:rPr>
        <w:t xml:space="preserve"> and</w:t>
      </w:r>
      <w:r w:rsidR="00BE2D36" w:rsidRPr="003129E1">
        <w:rPr>
          <w:rFonts w:ascii="Times New Roman" w:eastAsia="Times New Roman" w:hAnsi="Times New Roman" w:cs="Times New Roman"/>
        </w:rPr>
        <w:t xml:space="preserve">, consequently, on the necessity of the use of </w:t>
      </w:r>
      <w:r w:rsidR="00A5623E" w:rsidRPr="003129E1">
        <w:rPr>
          <w:rFonts w:ascii="Times New Roman" w:eastAsia="Times New Roman" w:hAnsi="Times New Roman" w:cs="Times New Roman"/>
        </w:rPr>
        <w:t xml:space="preserve">such </w:t>
      </w:r>
      <w:r w:rsidR="00BE2D36" w:rsidRPr="003129E1">
        <w:rPr>
          <w:rFonts w:ascii="Times New Roman" w:eastAsia="Times New Roman" w:hAnsi="Times New Roman" w:cs="Times New Roman"/>
        </w:rPr>
        <w:t>force</w:t>
      </w:r>
      <w:r w:rsidR="0051219F" w:rsidRPr="003129E1">
        <w:rPr>
          <w:rFonts w:ascii="Times New Roman" w:eastAsia="Times New Roman" w:hAnsi="Times New Roman" w:cs="Times New Roman"/>
        </w:rPr>
        <w:t>.</w:t>
      </w:r>
    </w:p>
    <w:p w:rsidR="003676EA" w:rsidRPr="003129E1" w:rsidRDefault="000D5DB1" w:rsidP="003129E1">
      <w:pPr>
        <w:pStyle w:val="ECHRPara"/>
        <w:rPr>
          <w:rFonts w:ascii="Times New Roman" w:eastAsia="Times New Roman" w:hAnsi="Times New Roman" w:cs="Times New Roman"/>
        </w:rPr>
      </w:pPr>
      <w:r w:rsidRPr="003129E1">
        <w:rPr>
          <w:rFonts w:ascii="Times New Roman" w:eastAsia="Times New Roman" w:hAnsi="Times New Roman" w:cs="Times New Roman"/>
        </w:rPr>
        <w:fldChar w:fldCharType="begin"/>
      </w:r>
      <w:r w:rsidRPr="003129E1">
        <w:rPr>
          <w:rFonts w:ascii="Times New Roman" w:eastAsia="Times New Roman" w:hAnsi="Times New Roman" w:cs="Times New Roman"/>
        </w:rPr>
        <w:instrText xml:space="preserve"> SEQ level0 \*arabic </w:instrText>
      </w:r>
      <w:r w:rsidRPr="003129E1">
        <w:rPr>
          <w:rFonts w:ascii="Times New Roman" w:eastAsia="Times New Roman" w:hAnsi="Times New Roman" w:cs="Times New Roman"/>
        </w:rPr>
        <w:fldChar w:fldCharType="separate"/>
      </w:r>
      <w:r w:rsidR="003129E1" w:rsidRPr="003129E1">
        <w:rPr>
          <w:rFonts w:ascii="Times New Roman" w:eastAsia="Times New Roman" w:hAnsi="Times New Roman" w:cs="Times New Roman"/>
          <w:noProof/>
        </w:rPr>
        <w:t>55</w:t>
      </w:r>
      <w:r w:rsidRPr="003129E1">
        <w:rPr>
          <w:rFonts w:ascii="Times New Roman" w:eastAsia="Times New Roman" w:hAnsi="Times New Roman" w:cs="Times New Roman"/>
        </w:rPr>
        <w:fldChar w:fldCharType="end"/>
      </w:r>
      <w:r w:rsidRPr="003129E1">
        <w:rPr>
          <w:rFonts w:ascii="Times New Roman" w:eastAsia="Times New Roman" w:hAnsi="Times New Roman" w:cs="Times New Roman"/>
        </w:rPr>
        <w:t>.  </w:t>
      </w:r>
      <w:r w:rsidR="006A4CF3" w:rsidRPr="003129E1">
        <w:rPr>
          <w:rFonts w:ascii="Times New Roman" w:eastAsia="Times New Roman" w:hAnsi="Times New Roman" w:cs="Times New Roman"/>
        </w:rPr>
        <w:t>Concerning the substantive limb of Article 3, the Court is not persuaded that the Government have provided a satisfactory and convincing explanation as to how the applicant</w:t>
      </w:r>
      <w:r w:rsidR="003129E1" w:rsidRPr="003129E1">
        <w:rPr>
          <w:rFonts w:ascii="Times New Roman" w:eastAsia="Times New Roman" w:hAnsi="Times New Roman" w:cs="Times New Roman"/>
        </w:rPr>
        <w:t>’</w:t>
      </w:r>
      <w:r w:rsidR="006A4CF3" w:rsidRPr="003129E1">
        <w:rPr>
          <w:rFonts w:ascii="Times New Roman" w:eastAsia="Times New Roman" w:hAnsi="Times New Roman" w:cs="Times New Roman"/>
        </w:rPr>
        <w:t>s injuries, namely the fractured finger, could have been caused. In conclusion, it cannot consider that the Government have discharged their burden of proof by demonstrating that the use of force was strictly necessary.</w:t>
      </w:r>
    </w:p>
    <w:p w:rsidR="00305AD2" w:rsidRPr="003129E1" w:rsidRDefault="00305AD2" w:rsidP="003129E1">
      <w:pPr>
        <w:pStyle w:val="ECHRPara"/>
        <w:rPr>
          <w:rFonts w:ascii="Times New Roman" w:eastAsia="Times New Roman" w:hAnsi="Times New Roman" w:cs="Times New Roman"/>
        </w:rPr>
      </w:pPr>
      <w:r w:rsidRPr="003129E1">
        <w:rPr>
          <w:rFonts w:ascii="Times New Roman" w:eastAsia="Times New Roman" w:hAnsi="Times New Roman" w:cs="Times New Roman"/>
        </w:rPr>
        <w:fldChar w:fldCharType="begin"/>
      </w:r>
      <w:r w:rsidRPr="003129E1">
        <w:rPr>
          <w:rFonts w:ascii="Times New Roman" w:eastAsia="Times New Roman" w:hAnsi="Times New Roman" w:cs="Times New Roman"/>
        </w:rPr>
        <w:instrText xml:space="preserve"> SEQ level0 \*arabic </w:instrText>
      </w:r>
      <w:r w:rsidRPr="003129E1">
        <w:rPr>
          <w:rFonts w:ascii="Times New Roman" w:eastAsia="Times New Roman" w:hAnsi="Times New Roman" w:cs="Times New Roman"/>
        </w:rPr>
        <w:fldChar w:fldCharType="separate"/>
      </w:r>
      <w:r w:rsidR="003129E1" w:rsidRPr="003129E1">
        <w:rPr>
          <w:rFonts w:ascii="Times New Roman" w:eastAsia="Times New Roman" w:hAnsi="Times New Roman" w:cs="Times New Roman"/>
          <w:noProof/>
        </w:rPr>
        <w:t>56</w:t>
      </w:r>
      <w:r w:rsidRPr="003129E1">
        <w:rPr>
          <w:rFonts w:ascii="Times New Roman" w:eastAsia="Times New Roman" w:hAnsi="Times New Roman" w:cs="Times New Roman"/>
        </w:rPr>
        <w:fldChar w:fldCharType="end"/>
      </w:r>
      <w:r w:rsidRPr="003129E1">
        <w:rPr>
          <w:rFonts w:ascii="Times New Roman" w:eastAsia="Times New Roman" w:hAnsi="Times New Roman" w:cs="Times New Roman"/>
        </w:rPr>
        <w:t>.  </w:t>
      </w:r>
      <w:r w:rsidR="0062672A" w:rsidRPr="003129E1">
        <w:rPr>
          <w:rFonts w:ascii="Times New Roman" w:eastAsia="Times New Roman" w:hAnsi="Times New Roman" w:cs="Times New Roman"/>
        </w:rPr>
        <w:t xml:space="preserve">It follows that there has been a violation of Article 3 under both </w:t>
      </w:r>
      <w:r w:rsidR="000075D0" w:rsidRPr="003129E1">
        <w:rPr>
          <w:rFonts w:ascii="Times New Roman" w:eastAsia="Times New Roman" w:hAnsi="Times New Roman" w:cs="Times New Roman"/>
        </w:rPr>
        <w:t>its</w:t>
      </w:r>
      <w:r w:rsidR="0062672A" w:rsidRPr="003129E1">
        <w:rPr>
          <w:rFonts w:ascii="Times New Roman" w:eastAsia="Times New Roman" w:hAnsi="Times New Roman" w:cs="Times New Roman"/>
        </w:rPr>
        <w:t xml:space="preserve"> substantive and procedural head.</w:t>
      </w:r>
    </w:p>
    <w:bookmarkStart w:id="17" w:name="End_Merits"/>
    <w:p w:rsidR="009E7C75" w:rsidRPr="003129E1" w:rsidRDefault="00720A91" w:rsidP="003129E1">
      <w:pPr>
        <w:pStyle w:val="ECHRPara"/>
        <w:rPr>
          <w:rFonts w:ascii="Times New Roman" w:eastAsia="Times New Roman" w:hAnsi="Times New Roman" w:cs="Times New Roman"/>
        </w:rPr>
      </w:pPr>
      <w:r w:rsidRPr="003129E1">
        <w:rPr>
          <w:rFonts w:ascii="Times New Roman" w:eastAsia="Times New Roman" w:hAnsi="Times New Roman" w:cs="Times New Roman"/>
        </w:rPr>
        <w:fldChar w:fldCharType="begin"/>
      </w:r>
      <w:r w:rsidRPr="003129E1">
        <w:rPr>
          <w:rFonts w:ascii="Times New Roman" w:eastAsia="Times New Roman" w:hAnsi="Times New Roman" w:cs="Times New Roman"/>
        </w:rPr>
        <w:instrText xml:space="preserve"> SEQ level0 \*arabic </w:instrText>
      </w:r>
      <w:r w:rsidRPr="003129E1">
        <w:rPr>
          <w:rFonts w:ascii="Times New Roman" w:eastAsia="Times New Roman" w:hAnsi="Times New Roman" w:cs="Times New Roman"/>
        </w:rPr>
        <w:fldChar w:fldCharType="separate"/>
      </w:r>
      <w:r w:rsidR="003129E1" w:rsidRPr="003129E1">
        <w:rPr>
          <w:rFonts w:ascii="Times New Roman" w:eastAsia="Times New Roman" w:hAnsi="Times New Roman" w:cs="Times New Roman"/>
          <w:noProof/>
        </w:rPr>
        <w:t>57</w:t>
      </w:r>
      <w:r w:rsidRPr="003129E1">
        <w:rPr>
          <w:rFonts w:ascii="Times New Roman" w:eastAsia="Times New Roman" w:hAnsi="Times New Roman" w:cs="Times New Roman"/>
        </w:rPr>
        <w:fldChar w:fldCharType="end"/>
      </w:r>
      <w:bookmarkEnd w:id="17"/>
      <w:r w:rsidRPr="003129E1">
        <w:rPr>
          <w:rFonts w:ascii="Times New Roman" w:eastAsia="Times New Roman" w:hAnsi="Times New Roman" w:cs="Times New Roman"/>
        </w:rPr>
        <w:t>.  Having regard to the latter finding</w:t>
      </w:r>
      <w:r w:rsidR="004D5BCA" w:rsidRPr="003129E1">
        <w:rPr>
          <w:rFonts w:ascii="Times New Roman" w:eastAsia="Times New Roman" w:hAnsi="Times New Roman" w:cs="Times New Roman"/>
        </w:rPr>
        <w:t>s</w:t>
      </w:r>
      <w:r w:rsidR="00F05214" w:rsidRPr="003129E1">
        <w:rPr>
          <w:rFonts w:ascii="Times New Roman" w:eastAsia="Times New Roman" w:hAnsi="Times New Roman" w:cs="Times New Roman"/>
        </w:rPr>
        <w:t xml:space="preserve">, the Court does not </w:t>
      </w:r>
      <w:r w:rsidR="004D5BCA" w:rsidRPr="003129E1">
        <w:rPr>
          <w:rFonts w:ascii="Times New Roman" w:eastAsia="Times New Roman" w:hAnsi="Times New Roman" w:cs="Times New Roman"/>
        </w:rPr>
        <w:t>consider</w:t>
      </w:r>
      <w:r w:rsidR="00F05214" w:rsidRPr="003129E1">
        <w:rPr>
          <w:rFonts w:ascii="Times New Roman" w:eastAsia="Times New Roman" w:hAnsi="Times New Roman" w:cs="Times New Roman"/>
        </w:rPr>
        <w:t xml:space="preserve"> it necessary to</w:t>
      </w:r>
      <w:r w:rsidR="004D5BCA" w:rsidRPr="003129E1">
        <w:rPr>
          <w:rFonts w:ascii="Times New Roman" w:eastAsia="Times New Roman" w:hAnsi="Times New Roman" w:cs="Times New Roman"/>
        </w:rPr>
        <w:t xml:space="preserve"> carry out</w:t>
      </w:r>
      <w:r w:rsidR="00F05214" w:rsidRPr="003129E1">
        <w:rPr>
          <w:rFonts w:ascii="Times New Roman" w:eastAsia="Times New Roman" w:hAnsi="Times New Roman" w:cs="Times New Roman"/>
        </w:rPr>
        <w:t xml:space="preserve"> </w:t>
      </w:r>
      <w:r w:rsidR="004D5BCA" w:rsidRPr="003129E1">
        <w:rPr>
          <w:rFonts w:ascii="Times New Roman" w:eastAsia="Times New Roman" w:hAnsi="Times New Roman" w:cs="Times New Roman"/>
        </w:rPr>
        <w:t xml:space="preserve">a separate assessment </w:t>
      </w:r>
      <w:r w:rsidR="00DC018B" w:rsidRPr="003129E1">
        <w:rPr>
          <w:rFonts w:ascii="Times New Roman" w:eastAsia="Times New Roman" w:hAnsi="Times New Roman" w:cs="Times New Roman"/>
        </w:rPr>
        <w:t xml:space="preserve">of </w:t>
      </w:r>
      <w:r w:rsidR="004D5BCA" w:rsidRPr="003129E1">
        <w:rPr>
          <w:rFonts w:ascii="Times New Roman" w:eastAsia="Times New Roman" w:hAnsi="Times New Roman" w:cs="Times New Roman"/>
        </w:rPr>
        <w:t xml:space="preserve">the events </w:t>
      </w:r>
      <w:r w:rsidR="00AB4F26" w:rsidRPr="003129E1">
        <w:rPr>
          <w:rFonts w:ascii="Times New Roman" w:eastAsia="Times New Roman" w:hAnsi="Times New Roman" w:cs="Times New Roman"/>
        </w:rPr>
        <w:t xml:space="preserve">preceding the </w:t>
      </w:r>
      <w:r w:rsidR="00AB4F26" w:rsidRPr="003129E1">
        <w:rPr>
          <w:rFonts w:ascii="Times New Roman" w:eastAsia="Times New Roman" w:hAnsi="Times New Roman" w:cs="Times New Roman"/>
        </w:rPr>
        <w:lastRenderedPageBreak/>
        <w:t>period</w:t>
      </w:r>
      <w:r w:rsidR="0040716E" w:rsidRPr="003129E1">
        <w:rPr>
          <w:rFonts w:ascii="Times New Roman" w:eastAsia="Times New Roman" w:hAnsi="Times New Roman" w:cs="Times New Roman"/>
        </w:rPr>
        <w:t xml:space="preserve"> the applicant</w:t>
      </w:r>
      <w:r w:rsidR="00AB4F26" w:rsidRPr="003129E1">
        <w:rPr>
          <w:rFonts w:ascii="Times New Roman" w:eastAsia="Times New Roman" w:hAnsi="Times New Roman" w:cs="Times New Roman"/>
        </w:rPr>
        <w:t xml:space="preserve"> spent at the </w:t>
      </w:r>
      <w:r w:rsidR="00C403D1" w:rsidRPr="003129E1">
        <w:rPr>
          <w:rFonts w:ascii="Times New Roman" w:eastAsia="Times New Roman" w:hAnsi="Times New Roman" w:cs="Times New Roman"/>
        </w:rPr>
        <w:t>p</w:t>
      </w:r>
      <w:r w:rsidR="00AB4F26" w:rsidRPr="003129E1">
        <w:rPr>
          <w:rFonts w:ascii="Times New Roman" w:eastAsia="Times New Roman" w:hAnsi="Times New Roman" w:cs="Times New Roman"/>
        </w:rPr>
        <w:t xml:space="preserve">olice </w:t>
      </w:r>
      <w:r w:rsidR="00C403D1" w:rsidRPr="003129E1">
        <w:rPr>
          <w:rFonts w:ascii="Times New Roman" w:eastAsia="Times New Roman" w:hAnsi="Times New Roman" w:cs="Times New Roman"/>
        </w:rPr>
        <w:t>s</w:t>
      </w:r>
      <w:r w:rsidR="00AB4F26" w:rsidRPr="003129E1">
        <w:rPr>
          <w:rFonts w:ascii="Times New Roman" w:eastAsia="Times New Roman" w:hAnsi="Times New Roman" w:cs="Times New Roman"/>
        </w:rPr>
        <w:t>tation</w:t>
      </w:r>
      <w:r w:rsidR="004D5BCA" w:rsidRPr="003129E1">
        <w:rPr>
          <w:rFonts w:ascii="Times New Roman" w:eastAsia="Times New Roman" w:hAnsi="Times New Roman" w:cs="Times New Roman"/>
        </w:rPr>
        <w:t>, or to address the applicant</w:t>
      </w:r>
      <w:r w:rsidR="003129E1" w:rsidRPr="003129E1">
        <w:rPr>
          <w:rFonts w:ascii="Times New Roman" w:eastAsia="Times New Roman" w:hAnsi="Times New Roman" w:cs="Times New Roman"/>
        </w:rPr>
        <w:t>’</w:t>
      </w:r>
      <w:r w:rsidR="004D5BCA" w:rsidRPr="003129E1">
        <w:rPr>
          <w:rFonts w:ascii="Times New Roman" w:eastAsia="Times New Roman" w:hAnsi="Times New Roman" w:cs="Times New Roman"/>
        </w:rPr>
        <w:t>s other complaints relating to the effectiveness of the investigation.</w:t>
      </w:r>
    </w:p>
    <w:p w:rsidR="00014566" w:rsidRPr="003129E1" w:rsidRDefault="00F16214" w:rsidP="003129E1">
      <w:pPr>
        <w:pStyle w:val="ECHRHeading1"/>
      </w:pPr>
      <w:r w:rsidRPr="003129E1">
        <w:t>II</w:t>
      </w:r>
      <w:r w:rsidR="00014566" w:rsidRPr="003129E1">
        <w:t>.</w:t>
      </w:r>
      <w:r w:rsidR="005963A6" w:rsidRPr="003129E1">
        <w:t> </w:t>
      </w:r>
      <w:r w:rsidR="00E669CE" w:rsidRPr="003129E1">
        <w:t> </w:t>
      </w:r>
      <w:r w:rsidR="005963A6" w:rsidRPr="003129E1">
        <w:t>APPLICATION</w:t>
      </w:r>
      <w:r w:rsidR="00014566" w:rsidRPr="003129E1">
        <w:t xml:space="preserve"> OF ARTICLE 41 OF THE CONVENTION</w:t>
      </w:r>
    </w:p>
    <w:p w:rsidR="00014566" w:rsidRPr="003129E1" w:rsidRDefault="006C318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58</w:t>
      </w:r>
      <w:r w:rsidRPr="003129E1">
        <w:fldChar w:fldCharType="end"/>
      </w:r>
      <w:r w:rsidR="00014566" w:rsidRPr="003129E1">
        <w:t>.  Article 41 of the Convention provides:</w:t>
      </w:r>
    </w:p>
    <w:p w:rsidR="00014566" w:rsidRPr="003129E1" w:rsidRDefault="00014566" w:rsidP="003129E1">
      <w:pPr>
        <w:pStyle w:val="ECHRParaQuote"/>
        <w:keepNext/>
        <w:keepLines/>
      </w:pPr>
      <w:r w:rsidRPr="003129E1">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014566" w:rsidRPr="003129E1" w:rsidRDefault="00014566" w:rsidP="003129E1">
      <w:pPr>
        <w:pStyle w:val="ECHRHeading2"/>
      </w:pPr>
      <w:r w:rsidRPr="003129E1">
        <w:t>A.  Damage</w:t>
      </w:r>
    </w:p>
    <w:p w:rsidR="00014566" w:rsidRPr="003129E1" w:rsidRDefault="006C318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59</w:t>
      </w:r>
      <w:r w:rsidRPr="003129E1">
        <w:fldChar w:fldCharType="end"/>
      </w:r>
      <w:r w:rsidR="00014566" w:rsidRPr="003129E1">
        <w:t xml:space="preserve">.  The applicant </w:t>
      </w:r>
      <w:r w:rsidR="007B57EF" w:rsidRPr="003129E1">
        <w:t xml:space="preserve">claimed </w:t>
      </w:r>
      <w:r w:rsidR="00DB1F67" w:rsidRPr="003129E1">
        <w:t>50,000</w:t>
      </w:r>
      <w:r w:rsidR="007B57EF" w:rsidRPr="003129E1">
        <w:t xml:space="preserve"> euros (EUR) in respect of pecuniary damage for loss of earnings and </w:t>
      </w:r>
      <w:r w:rsidR="00DC7ACD" w:rsidRPr="003129E1">
        <w:t xml:space="preserve">EUR </w:t>
      </w:r>
      <w:r w:rsidR="004E23EA" w:rsidRPr="003129E1">
        <w:t>30,000</w:t>
      </w:r>
      <w:r w:rsidR="007B57EF" w:rsidRPr="003129E1">
        <w:t xml:space="preserve"> </w:t>
      </w:r>
      <w:r w:rsidR="009D6FB7" w:rsidRPr="003129E1">
        <w:t>in respect of non-</w:t>
      </w:r>
      <w:r w:rsidR="007B57EF" w:rsidRPr="003129E1">
        <w:t>pecuniary damage.</w:t>
      </w:r>
    </w:p>
    <w:p w:rsidR="009E7C75" w:rsidRPr="003129E1" w:rsidRDefault="006C318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60</w:t>
      </w:r>
      <w:r w:rsidRPr="003129E1">
        <w:fldChar w:fldCharType="end"/>
      </w:r>
      <w:r w:rsidR="00014566" w:rsidRPr="003129E1">
        <w:t>.  </w:t>
      </w:r>
      <w:r w:rsidR="00BE05EA" w:rsidRPr="003129E1">
        <w:t>The Government argued that the pecuniary damage claim was based on a highly speculative contention that there was a causal link between the violation and the loss of earnings.</w:t>
      </w:r>
    </w:p>
    <w:p w:rsidR="009E7C75" w:rsidRPr="003129E1" w:rsidRDefault="006C318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61</w:t>
      </w:r>
      <w:r w:rsidRPr="003129E1">
        <w:fldChar w:fldCharType="end"/>
      </w:r>
      <w:r w:rsidR="00014566" w:rsidRPr="003129E1">
        <w:t>.  </w:t>
      </w:r>
      <w:r w:rsidR="002D7D02" w:rsidRPr="003129E1">
        <w:t>As to the applicant</w:t>
      </w:r>
      <w:r w:rsidR="003129E1" w:rsidRPr="003129E1">
        <w:t>’</w:t>
      </w:r>
      <w:r w:rsidR="002D7D02" w:rsidRPr="003129E1">
        <w:t>s claim for loss of earnings, the Court</w:t>
      </w:r>
      <w:r w:rsidR="00552DC8" w:rsidRPr="003129E1">
        <w:t xml:space="preserve"> agrees with the Government </w:t>
      </w:r>
      <w:r w:rsidR="002D7D02" w:rsidRPr="003129E1">
        <w:t>that no direct causal link has been sufficiently established between the alleged loss and the vi</w:t>
      </w:r>
      <w:r w:rsidR="009D6FB7" w:rsidRPr="003129E1">
        <w:t>olation it has found of Article </w:t>
      </w:r>
      <w:r w:rsidR="002D7D02" w:rsidRPr="003129E1">
        <w:t>3 of the Convention</w:t>
      </w:r>
      <w:r w:rsidR="00014566" w:rsidRPr="003129E1">
        <w:t>; it therefore rejects this claim.</w:t>
      </w:r>
    </w:p>
    <w:p w:rsidR="00014566" w:rsidRPr="003129E1" w:rsidRDefault="002D7D02"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62</w:t>
      </w:r>
      <w:r w:rsidRPr="003129E1">
        <w:fldChar w:fldCharType="end"/>
      </w:r>
      <w:r w:rsidRPr="003129E1">
        <w:t>.  </w:t>
      </w:r>
      <w:r w:rsidR="00014566" w:rsidRPr="003129E1">
        <w:t>On the other hand,</w:t>
      </w:r>
      <w:r w:rsidR="001A362C" w:rsidRPr="003129E1">
        <w:t xml:space="preserve"> ruling</w:t>
      </w:r>
      <w:r w:rsidR="00014566" w:rsidRPr="003129E1">
        <w:t xml:space="preserve"> </w:t>
      </w:r>
      <w:r w:rsidR="001A362C" w:rsidRPr="003129E1">
        <w:t xml:space="preserve">on an equitable basis, </w:t>
      </w:r>
      <w:r w:rsidR="00014566" w:rsidRPr="003129E1">
        <w:t>it awards the applicant</w:t>
      </w:r>
      <w:r w:rsidR="00552DC8" w:rsidRPr="003129E1">
        <w:t xml:space="preserve"> </w:t>
      </w:r>
      <w:r w:rsidR="00014566" w:rsidRPr="003129E1">
        <w:t xml:space="preserve">EUR </w:t>
      </w:r>
      <w:r w:rsidR="00FA5B68" w:rsidRPr="003129E1">
        <w:t>1</w:t>
      </w:r>
      <w:r w:rsidR="003E68A3" w:rsidRPr="003129E1">
        <w:t>2</w:t>
      </w:r>
      <w:r w:rsidR="00FA5B68" w:rsidRPr="003129E1">
        <w:t>,000</w:t>
      </w:r>
      <w:r w:rsidR="00014566" w:rsidRPr="003129E1">
        <w:t xml:space="preserve"> in respect of non-pecuniary damage.</w:t>
      </w:r>
    </w:p>
    <w:p w:rsidR="00014566" w:rsidRPr="003129E1" w:rsidRDefault="00014566" w:rsidP="003129E1">
      <w:pPr>
        <w:pStyle w:val="ECHRHeading2"/>
      </w:pPr>
      <w:r w:rsidRPr="003129E1">
        <w:t>B.  Costs and expenses</w:t>
      </w:r>
    </w:p>
    <w:p w:rsidR="00014566" w:rsidRPr="003129E1" w:rsidRDefault="006C318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63</w:t>
      </w:r>
      <w:r w:rsidRPr="003129E1">
        <w:fldChar w:fldCharType="end"/>
      </w:r>
      <w:r w:rsidR="00014566" w:rsidRPr="003129E1">
        <w:t xml:space="preserve">.  The applicant also claimed EUR </w:t>
      </w:r>
      <w:r w:rsidR="00586B69" w:rsidRPr="003129E1">
        <w:t>2,660</w:t>
      </w:r>
      <w:r w:rsidR="00014566" w:rsidRPr="003129E1">
        <w:t xml:space="preserve"> for the costs and expenses incurred before the domestic courts and EUR </w:t>
      </w:r>
      <w:r w:rsidR="00586B69" w:rsidRPr="003129E1">
        <w:t>11,400</w:t>
      </w:r>
      <w:r w:rsidR="00014566" w:rsidRPr="003129E1">
        <w:t xml:space="preserve"> for those incurred before</w:t>
      </w:r>
      <w:r w:rsidR="003D52C3" w:rsidRPr="003129E1">
        <w:t xml:space="preserve"> the Court.</w:t>
      </w:r>
    </w:p>
    <w:p w:rsidR="00014566" w:rsidRPr="003129E1" w:rsidRDefault="006C318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64</w:t>
      </w:r>
      <w:r w:rsidRPr="003129E1">
        <w:fldChar w:fldCharType="end"/>
      </w:r>
      <w:r w:rsidR="00014566" w:rsidRPr="003129E1">
        <w:t>.  </w:t>
      </w:r>
      <w:r w:rsidR="00100BA2" w:rsidRPr="003129E1">
        <w:t xml:space="preserve">The Government </w:t>
      </w:r>
      <w:r w:rsidR="00C403D1" w:rsidRPr="003129E1">
        <w:t xml:space="preserve">described </w:t>
      </w:r>
      <w:r w:rsidR="00100BA2" w:rsidRPr="003129E1">
        <w:t>the applicant</w:t>
      </w:r>
      <w:r w:rsidR="003129E1" w:rsidRPr="003129E1">
        <w:t>’</w:t>
      </w:r>
      <w:r w:rsidR="00100BA2" w:rsidRPr="003129E1">
        <w:t>s claim as excessive.</w:t>
      </w:r>
    </w:p>
    <w:p w:rsidR="00014566" w:rsidRPr="003129E1" w:rsidRDefault="006C318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65</w:t>
      </w:r>
      <w:r w:rsidRPr="003129E1">
        <w:fldChar w:fldCharType="end"/>
      </w:r>
      <w:r w:rsidR="00014566" w:rsidRPr="003129E1">
        <w:t>.  </w:t>
      </w:r>
      <w:r w:rsidRPr="003129E1">
        <w:t>According to the Court</w:t>
      </w:r>
      <w:r w:rsidR="003129E1" w:rsidRPr="003129E1">
        <w:t>’</w:t>
      </w:r>
      <w:r w:rsidRPr="003129E1">
        <w:t>s case-law, an applicant is entitled to the reimbursement of costs and expenses only in so far as it has been shown that these have been actually and necessarily incurred and are reasonable as to quantum. In the present case, regard</w:t>
      </w:r>
      <w:r w:rsidR="00014566" w:rsidRPr="003129E1">
        <w:t xml:space="preserve"> being had to the documents in its possession and </w:t>
      </w:r>
      <w:r w:rsidRPr="003129E1">
        <w:t>the above criteria</w:t>
      </w:r>
      <w:r w:rsidR="00014566" w:rsidRPr="003129E1">
        <w:t xml:space="preserve">, the Court considers it reasonable to award the sum of EUR </w:t>
      </w:r>
      <w:r w:rsidR="00461172" w:rsidRPr="003129E1">
        <w:t>8</w:t>
      </w:r>
      <w:r w:rsidR="007414C6" w:rsidRPr="003129E1">
        <w:t>,000</w:t>
      </w:r>
      <w:r w:rsidR="00014566" w:rsidRPr="003129E1">
        <w:t xml:space="preserve"> covering costs under all heads.</w:t>
      </w:r>
    </w:p>
    <w:p w:rsidR="00014566" w:rsidRPr="003129E1" w:rsidRDefault="00014566" w:rsidP="003129E1">
      <w:pPr>
        <w:pStyle w:val="ECHRHeading2"/>
      </w:pPr>
      <w:r w:rsidRPr="003129E1">
        <w:t>C.  Default interest</w:t>
      </w:r>
    </w:p>
    <w:p w:rsidR="00014566" w:rsidRPr="003129E1" w:rsidRDefault="006C3181" w:rsidP="003129E1">
      <w:pPr>
        <w:pStyle w:val="ECHRPara"/>
      </w:pPr>
      <w:r w:rsidRPr="003129E1">
        <w:fldChar w:fldCharType="begin"/>
      </w:r>
      <w:r w:rsidRPr="003129E1">
        <w:instrText xml:space="preserve"> SEQ level0 \*arabic </w:instrText>
      </w:r>
      <w:r w:rsidRPr="003129E1">
        <w:fldChar w:fldCharType="separate"/>
      </w:r>
      <w:r w:rsidR="003129E1" w:rsidRPr="003129E1">
        <w:rPr>
          <w:noProof/>
        </w:rPr>
        <w:t>66</w:t>
      </w:r>
      <w:r w:rsidRPr="003129E1">
        <w:fldChar w:fldCharType="end"/>
      </w:r>
      <w:r w:rsidR="00014566" w:rsidRPr="003129E1">
        <w:t>.  The Court considers it appropriate that the default interest rate should be based on the marginal lending rate of the European Central Bank, to which should be added three percentage points.</w:t>
      </w:r>
    </w:p>
    <w:p w:rsidR="00014566" w:rsidRPr="003129E1" w:rsidRDefault="00BB5883" w:rsidP="003129E1">
      <w:pPr>
        <w:pStyle w:val="ECHRTitle1"/>
      </w:pPr>
      <w:r w:rsidRPr="003129E1">
        <w:lastRenderedPageBreak/>
        <w:t>FOR THESE REASONS, THE COURT</w:t>
      </w:r>
      <w:r w:rsidR="006C3181" w:rsidRPr="003129E1">
        <w:t>, UNANIMOUSLY,</w:t>
      </w:r>
    </w:p>
    <w:p w:rsidR="00B637B9" w:rsidRPr="003129E1" w:rsidRDefault="00B637B9" w:rsidP="003129E1">
      <w:pPr>
        <w:pStyle w:val="JuList"/>
      </w:pPr>
      <w:r w:rsidRPr="003129E1">
        <w:t>1.  </w:t>
      </w:r>
      <w:r w:rsidRPr="003129E1">
        <w:rPr>
          <w:i/>
        </w:rPr>
        <w:t>Declares</w:t>
      </w:r>
      <w:r w:rsidR="006C3181" w:rsidRPr="003129E1">
        <w:t xml:space="preserve"> </w:t>
      </w:r>
      <w:r w:rsidRPr="003129E1">
        <w:t xml:space="preserve">the </w:t>
      </w:r>
      <w:r w:rsidR="006C3181" w:rsidRPr="003129E1">
        <w:t>application</w:t>
      </w:r>
      <w:r w:rsidRPr="003129E1">
        <w:t xml:space="preserve"> admissible;</w:t>
      </w:r>
    </w:p>
    <w:p w:rsidR="00922864" w:rsidRPr="003129E1" w:rsidRDefault="00922864" w:rsidP="003129E1">
      <w:pPr>
        <w:pStyle w:val="JuList"/>
        <w:rPr>
          <w:b/>
        </w:rPr>
      </w:pPr>
    </w:p>
    <w:p w:rsidR="00014566" w:rsidRPr="003129E1" w:rsidRDefault="009B318E" w:rsidP="003129E1">
      <w:pPr>
        <w:pStyle w:val="JuList"/>
      </w:pPr>
      <w:r w:rsidRPr="003129E1">
        <w:t>2</w:t>
      </w:r>
      <w:r w:rsidR="00014566" w:rsidRPr="003129E1">
        <w:t>.  </w:t>
      </w:r>
      <w:r w:rsidR="00014566" w:rsidRPr="003129E1">
        <w:rPr>
          <w:i/>
        </w:rPr>
        <w:t>Holds</w:t>
      </w:r>
      <w:r w:rsidR="006C3181" w:rsidRPr="003129E1">
        <w:t xml:space="preserve"> </w:t>
      </w:r>
      <w:r w:rsidR="00014566" w:rsidRPr="003129E1">
        <w:t xml:space="preserve">that there has been a violation of Article </w:t>
      </w:r>
      <w:r w:rsidR="000A59F7" w:rsidRPr="003129E1">
        <w:t>3</w:t>
      </w:r>
      <w:r w:rsidR="00014566" w:rsidRPr="003129E1">
        <w:t xml:space="preserve"> of the Convention</w:t>
      </w:r>
      <w:r w:rsidRPr="003129E1">
        <w:t xml:space="preserve"> in both its procedural and substantive aspects</w:t>
      </w:r>
      <w:r w:rsidR="00014566" w:rsidRPr="003129E1">
        <w:t>;</w:t>
      </w:r>
    </w:p>
    <w:p w:rsidR="002855F4" w:rsidRPr="003129E1" w:rsidRDefault="002855F4" w:rsidP="003129E1">
      <w:pPr>
        <w:pStyle w:val="JuList"/>
      </w:pPr>
    </w:p>
    <w:p w:rsidR="00014566" w:rsidRPr="003129E1" w:rsidRDefault="00573225" w:rsidP="003129E1">
      <w:pPr>
        <w:pStyle w:val="JuList"/>
      </w:pPr>
      <w:r w:rsidRPr="003129E1">
        <w:t>3</w:t>
      </w:r>
      <w:r w:rsidR="00014566" w:rsidRPr="003129E1">
        <w:t>.  </w:t>
      </w:r>
      <w:r w:rsidR="00014566" w:rsidRPr="003129E1">
        <w:rPr>
          <w:i/>
        </w:rPr>
        <w:t>Holds</w:t>
      </w:r>
    </w:p>
    <w:p w:rsidR="00014566" w:rsidRPr="003129E1" w:rsidRDefault="00014566" w:rsidP="003129E1">
      <w:pPr>
        <w:pStyle w:val="JuLista"/>
      </w:pPr>
      <w:r w:rsidRPr="003129E1">
        <w:t>(a)  that the respondent State is to pay the applicant, within three months</w:t>
      </w:r>
      <w:r w:rsidR="006C3181" w:rsidRPr="003129E1">
        <w:t xml:space="preserve"> from the date on which the judgment becomes final in accordance with Article 44 § 2 of the Convention,</w:t>
      </w:r>
      <w:r w:rsidRPr="003129E1">
        <w:t xml:space="preserve"> the following amounts:</w:t>
      </w:r>
    </w:p>
    <w:p w:rsidR="00014566" w:rsidRPr="003129E1" w:rsidRDefault="00014566" w:rsidP="003129E1">
      <w:pPr>
        <w:pStyle w:val="JuListi"/>
      </w:pPr>
      <w:r w:rsidRPr="003129E1">
        <w:t xml:space="preserve">(i)  EUR </w:t>
      </w:r>
      <w:r w:rsidR="009B318E" w:rsidRPr="003129E1">
        <w:t>1</w:t>
      </w:r>
      <w:r w:rsidR="00C83CA6" w:rsidRPr="003129E1">
        <w:t>2</w:t>
      </w:r>
      <w:r w:rsidR="009B318E" w:rsidRPr="003129E1">
        <w:t>,000</w:t>
      </w:r>
      <w:r w:rsidRPr="003129E1">
        <w:t xml:space="preserve"> (</w:t>
      </w:r>
      <w:r w:rsidR="00C83CA6" w:rsidRPr="003129E1">
        <w:t>twelve</w:t>
      </w:r>
      <w:r w:rsidR="009B318E" w:rsidRPr="003129E1">
        <w:t xml:space="preserve"> thousand</w:t>
      </w:r>
      <w:r w:rsidRPr="003129E1">
        <w:t xml:space="preserve"> euros), plus any tax that may be chargeable</w:t>
      </w:r>
      <w:r w:rsidR="009B318E" w:rsidRPr="003129E1">
        <w:t xml:space="preserve">, </w:t>
      </w:r>
      <w:r w:rsidRPr="003129E1">
        <w:t>in respect of non-pecuniary damage;</w:t>
      </w:r>
    </w:p>
    <w:p w:rsidR="00014566" w:rsidRPr="003129E1" w:rsidRDefault="004F3328" w:rsidP="003129E1">
      <w:pPr>
        <w:pStyle w:val="JuListi"/>
      </w:pPr>
      <w:r w:rsidRPr="003129E1">
        <w:t>(ii</w:t>
      </w:r>
      <w:r w:rsidR="00014566" w:rsidRPr="003129E1">
        <w:t xml:space="preserve">)  EUR </w:t>
      </w:r>
      <w:r w:rsidR="00B20510" w:rsidRPr="003129E1">
        <w:t>8</w:t>
      </w:r>
      <w:r w:rsidR="009B318E" w:rsidRPr="003129E1">
        <w:t>,000</w:t>
      </w:r>
      <w:r w:rsidR="00014566" w:rsidRPr="003129E1">
        <w:t xml:space="preserve"> (</w:t>
      </w:r>
      <w:r w:rsidR="00B20510" w:rsidRPr="003129E1">
        <w:t>eight</w:t>
      </w:r>
      <w:r w:rsidR="009B318E" w:rsidRPr="003129E1">
        <w:t xml:space="preserve"> thousand</w:t>
      </w:r>
      <w:r w:rsidR="00014566" w:rsidRPr="003129E1">
        <w:t xml:space="preserve"> euros), plus any tax that may be chargeable to the applicant, in respect of costs and expenses;</w:t>
      </w:r>
    </w:p>
    <w:p w:rsidR="00014566" w:rsidRPr="003129E1" w:rsidRDefault="00014566" w:rsidP="003129E1">
      <w:pPr>
        <w:pStyle w:val="JuLista"/>
      </w:pPr>
      <w:r w:rsidRPr="003129E1">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014566" w:rsidRPr="003129E1" w:rsidRDefault="00014566" w:rsidP="003129E1">
      <w:pPr>
        <w:pStyle w:val="JuList"/>
      </w:pPr>
    </w:p>
    <w:p w:rsidR="00014566" w:rsidRPr="003129E1" w:rsidRDefault="004C32CC" w:rsidP="003129E1">
      <w:pPr>
        <w:pStyle w:val="JuList"/>
      </w:pPr>
      <w:r w:rsidRPr="003129E1">
        <w:t>4</w:t>
      </w:r>
      <w:r w:rsidR="00014566" w:rsidRPr="003129E1">
        <w:t>.  </w:t>
      </w:r>
      <w:r w:rsidR="00014566" w:rsidRPr="003129E1">
        <w:rPr>
          <w:i/>
        </w:rPr>
        <w:t>Dismisses</w:t>
      </w:r>
      <w:r w:rsidR="00014566" w:rsidRPr="003129E1">
        <w:t xml:space="preserve"> the remainder of the applicant</w:t>
      </w:r>
      <w:r w:rsidR="003129E1" w:rsidRPr="003129E1">
        <w:t>’</w:t>
      </w:r>
      <w:r w:rsidR="006C3181" w:rsidRPr="003129E1">
        <w:t>s</w:t>
      </w:r>
      <w:r w:rsidR="00014566" w:rsidRPr="003129E1">
        <w:t xml:space="preserve"> claim for just satisfaction.</w:t>
      </w:r>
    </w:p>
    <w:p w:rsidR="00014566" w:rsidRPr="003129E1" w:rsidRDefault="00014566" w:rsidP="003129E1">
      <w:pPr>
        <w:pStyle w:val="JuParaLast"/>
      </w:pPr>
      <w:r w:rsidRPr="003129E1">
        <w:t xml:space="preserve">Done in English, and notified in writing on </w:t>
      </w:r>
      <w:r w:rsidR="00525865" w:rsidRPr="003129E1">
        <w:t>12 October 2017</w:t>
      </w:r>
      <w:r w:rsidRPr="003129E1">
        <w:t>, pursuant to Rule 77 §§ 2 and 3 of the Rules of Court.</w:t>
      </w:r>
    </w:p>
    <w:p w:rsidR="004D15F3" w:rsidRPr="003129E1" w:rsidRDefault="00014566" w:rsidP="003129E1">
      <w:pPr>
        <w:pStyle w:val="JuSigned"/>
        <w:tabs>
          <w:tab w:val="clear" w:pos="6407"/>
          <w:tab w:val="center" w:pos="6096"/>
        </w:tabs>
        <w:rPr>
          <w:lang w:val="es-AR"/>
        </w:rPr>
      </w:pPr>
      <w:r w:rsidRPr="003129E1">
        <w:tab/>
      </w:r>
      <w:r w:rsidR="006C3181" w:rsidRPr="003129E1">
        <w:rPr>
          <w:lang w:val="es-AR"/>
        </w:rPr>
        <w:t>Abel Campos</w:t>
      </w:r>
      <w:r w:rsidRPr="003129E1">
        <w:rPr>
          <w:lang w:val="es-AR"/>
        </w:rPr>
        <w:tab/>
      </w:r>
      <w:r w:rsidR="00CD59C6" w:rsidRPr="003129E1">
        <w:rPr>
          <w:szCs w:val="24"/>
          <w:lang w:val="es-AR"/>
        </w:rPr>
        <w:t>Linos-Alexandre Sicilianos</w:t>
      </w:r>
      <w:r w:rsidR="00E1557C" w:rsidRPr="003129E1">
        <w:rPr>
          <w:szCs w:val="24"/>
          <w:lang w:val="es-AR"/>
        </w:rPr>
        <w:br/>
      </w:r>
      <w:r w:rsidRPr="003129E1">
        <w:rPr>
          <w:lang w:val="es-AR"/>
        </w:rPr>
        <w:tab/>
      </w:r>
      <w:r w:rsidR="006C3181" w:rsidRPr="003129E1">
        <w:rPr>
          <w:iCs/>
          <w:lang w:val="es-AR"/>
        </w:rPr>
        <w:t>Registrar</w:t>
      </w:r>
      <w:r w:rsidRPr="003129E1">
        <w:rPr>
          <w:lang w:val="es-AR"/>
        </w:rPr>
        <w:tab/>
        <w:t>President</w:t>
      </w:r>
    </w:p>
    <w:sectPr w:rsidR="004D15F3" w:rsidRPr="003129E1" w:rsidSect="009E7C75">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417" w:rsidRPr="00512D5D" w:rsidRDefault="00B02417" w:rsidP="00014566">
      <w:r w:rsidRPr="00512D5D">
        <w:separator/>
      </w:r>
    </w:p>
  </w:endnote>
  <w:endnote w:type="continuationSeparator" w:id="0">
    <w:p w:rsidR="00B02417" w:rsidRPr="00512D5D" w:rsidRDefault="00B02417" w:rsidP="00014566">
      <w:r w:rsidRPr="00512D5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C75" w:rsidRPr="00150BFA" w:rsidRDefault="009E7C75" w:rsidP="0020718E">
    <w:pPr>
      <w:jc w:val="center"/>
    </w:pPr>
    <w:r>
      <w:rPr>
        <w:noProof/>
        <w:lang w:val="it-IT" w:eastAsia="it-IT"/>
      </w:rPr>
      <w:drawing>
        <wp:inline distT="0" distB="0" distL="0" distR="0" wp14:anchorId="7ADB050F" wp14:editId="3F5E0F01">
          <wp:extent cx="771525" cy="619125"/>
          <wp:effectExtent l="0" t="0" r="9525" b="9525"/>
          <wp:docPr id="17" name="Picture 1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E7C75" w:rsidRDefault="009E7C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417" w:rsidRPr="00512D5D" w:rsidRDefault="00B02417" w:rsidP="00014566">
      <w:r w:rsidRPr="00512D5D">
        <w:separator/>
      </w:r>
    </w:p>
  </w:footnote>
  <w:footnote w:type="continuationSeparator" w:id="0">
    <w:p w:rsidR="00B02417" w:rsidRPr="00512D5D" w:rsidRDefault="00B02417" w:rsidP="00014566">
      <w:r w:rsidRPr="00512D5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BDA" w:rsidRPr="009E7C75" w:rsidRDefault="00292BDA" w:rsidP="009E7C75">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C75" w:rsidRPr="00A45145" w:rsidRDefault="009E7C75" w:rsidP="00A45145">
    <w:pPr>
      <w:jc w:val="center"/>
    </w:pPr>
    <w:r>
      <w:rPr>
        <w:noProof/>
        <w:lang w:val="it-IT" w:eastAsia="it-IT"/>
      </w:rPr>
      <w:drawing>
        <wp:inline distT="0" distB="0" distL="0" distR="0" wp14:anchorId="0F0FFFA8" wp14:editId="73CF82D4">
          <wp:extent cx="2962275" cy="1219200"/>
          <wp:effectExtent l="0" t="0" r="9525" b="0"/>
          <wp:docPr id="9"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E7C75" w:rsidRDefault="009E7C7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C75" w:rsidRPr="00512D5D" w:rsidRDefault="009E7C75" w:rsidP="00EE1DA9">
    <w:pPr>
      <w:pStyle w:val="ECHRHeader"/>
    </w:pPr>
    <w:r>
      <w:rPr>
        <w:rStyle w:val="Numeropagina"/>
        <w:szCs w:val="18"/>
      </w:rPr>
      <w:fldChar w:fldCharType="begin"/>
    </w:r>
    <w:r>
      <w:rPr>
        <w:rStyle w:val="Numeropagina"/>
        <w:szCs w:val="18"/>
      </w:rPr>
      <w:instrText xml:space="preserve"> PAGE </w:instrText>
    </w:r>
    <w:r>
      <w:rPr>
        <w:rStyle w:val="Numeropagina"/>
        <w:szCs w:val="18"/>
      </w:rPr>
      <w:fldChar w:fldCharType="separate"/>
    </w:r>
    <w:r w:rsidR="004175FC">
      <w:rPr>
        <w:rStyle w:val="Numeropagina"/>
        <w:noProof/>
        <w:szCs w:val="18"/>
      </w:rPr>
      <w:t>12</w:t>
    </w:r>
    <w:r>
      <w:rPr>
        <w:rStyle w:val="Numeropagina"/>
        <w:szCs w:val="18"/>
      </w:rPr>
      <w:fldChar w:fldCharType="end"/>
    </w:r>
    <w:r w:rsidRPr="00512D5D">
      <w:tab/>
    </w:r>
    <w:r>
      <w:t>TIZIANA PENNINO v. ITALY</w:t>
    </w:r>
    <w:r w:rsidRPr="00512D5D">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C75" w:rsidRPr="00512D5D" w:rsidRDefault="009E7C75" w:rsidP="00D60D87">
    <w:pPr>
      <w:pStyle w:val="ECHRHeader"/>
    </w:pPr>
    <w:r w:rsidRPr="00512D5D">
      <w:tab/>
    </w:r>
    <w:r>
      <w:t>TIZIANA PENNINO v. ITALY</w:t>
    </w:r>
    <w:r w:rsidRPr="00512D5D">
      <w:t xml:space="preserve"> </w:t>
    </w:r>
    <w:r>
      <w:t>JUDGMENT</w:t>
    </w:r>
    <w:r w:rsidRPr="00512D5D">
      <w:tab/>
    </w:r>
    <w:r>
      <w:rPr>
        <w:rStyle w:val="Numeropagina"/>
        <w:szCs w:val="18"/>
      </w:rPr>
      <w:fldChar w:fldCharType="begin"/>
    </w:r>
    <w:r>
      <w:rPr>
        <w:rStyle w:val="Numeropagina"/>
        <w:szCs w:val="18"/>
      </w:rPr>
      <w:instrText xml:space="preserve"> PAGE </w:instrText>
    </w:r>
    <w:r>
      <w:rPr>
        <w:rStyle w:val="Numeropagina"/>
        <w:szCs w:val="18"/>
      </w:rPr>
      <w:fldChar w:fldCharType="separate"/>
    </w:r>
    <w:r w:rsidR="004175FC">
      <w:rPr>
        <w:rStyle w:val="Numeropagina"/>
        <w:noProof/>
        <w:szCs w:val="18"/>
      </w:rPr>
      <w:t>13</w:t>
    </w:r>
    <w:r>
      <w:rPr>
        <w:rStyle w:val="Numeropagina"/>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90ECFBC"/>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C5B8BEF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6F1CF73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23802660"/>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Numeroelenco"/>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6C3181"/>
    <w:rsid w:val="00000067"/>
    <w:rsid w:val="00000B42"/>
    <w:rsid w:val="000010ED"/>
    <w:rsid w:val="0000250F"/>
    <w:rsid w:val="00003AD9"/>
    <w:rsid w:val="00003BE0"/>
    <w:rsid w:val="00003D14"/>
    <w:rsid w:val="000041F8"/>
    <w:rsid w:val="000042A8"/>
    <w:rsid w:val="00004308"/>
    <w:rsid w:val="0000438C"/>
    <w:rsid w:val="00005BF0"/>
    <w:rsid w:val="000066B9"/>
    <w:rsid w:val="00006FD7"/>
    <w:rsid w:val="00007154"/>
    <w:rsid w:val="000075D0"/>
    <w:rsid w:val="000075E5"/>
    <w:rsid w:val="0001016C"/>
    <w:rsid w:val="000103AE"/>
    <w:rsid w:val="000111F6"/>
    <w:rsid w:val="000113F3"/>
    <w:rsid w:val="00011D69"/>
    <w:rsid w:val="00012AD3"/>
    <w:rsid w:val="00014566"/>
    <w:rsid w:val="00014FC2"/>
    <w:rsid w:val="000152BE"/>
    <w:rsid w:val="00015892"/>
    <w:rsid w:val="00015A84"/>
    <w:rsid w:val="00015C2D"/>
    <w:rsid w:val="00015F00"/>
    <w:rsid w:val="00017F87"/>
    <w:rsid w:val="0002076B"/>
    <w:rsid w:val="000211B4"/>
    <w:rsid w:val="0002262B"/>
    <w:rsid w:val="000229F2"/>
    <w:rsid w:val="00022C1D"/>
    <w:rsid w:val="0002480E"/>
    <w:rsid w:val="0002563E"/>
    <w:rsid w:val="000275EA"/>
    <w:rsid w:val="00027644"/>
    <w:rsid w:val="000310B7"/>
    <w:rsid w:val="00031E3F"/>
    <w:rsid w:val="000320A5"/>
    <w:rsid w:val="00033543"/>
    <w:rsid w:val="00034895"/>
    <w:rsid w:val="00034987"/>
    <w:rsid w:val="00034DF1"/>
    <w:rsid w:val="000350E3"/>
    <w:rsid w:val="000354CB"/>
    <w:rsid w:val="000358B1"/>
    <w:rsid w:val="00035AA3"/>
    <w:rsid w:val="00035D0E"/>
    <w:rsid w:val="00036837"/>
    <w:rsid w:val="00037044"/>
    <w:rsid w:val="0003746B"/>
    <w:rsid w:val="0003784B"/>
    <w:rsid w:val="0003787F"/>
    <w:rsid w:val="00040271"/>
    <w:rsid w:val="000424C9"/>
    <w:rsid w:val="00042D2D"/>
    <w:rsid w:val="0004361D"/>
    <w:rsid w:val="000441D1"/>
    <w:rsid w:val="000444D6"/>
    <w:rsid w:val="00044FBF"/>
    <w:rsid w:val="00045BF8"/>
    <w:rsid w:val="00045C37"/>
    <w:rsid w:val="00046503"/>
    <w:rsid w:val="00047589"/>
    <w:rsid w:val="000479EA"/>
    <w:rsid w:val="000479FB"/>
    <w:rsid w:val="000506EA"/>
    <w:rsid w:val="00052B77"/>
    <w:rsid w:val="00053F56"/>
    <w:rsid w:val="00056F0A"/>
    <w:rsid w:val="0005778B"/>
    <w:rsid w:val="000602DF"/>
    <w:rsid w:val="000619D8"/>
    <w:rsid w:val="00061B05"/>
    <w:rsid w:val="000624B8"/>
    <w:rsid w:val="00062973"/>
    <w:rsid w:val="00062D5D"/>
    <w:rsid w:val="000632D5"/>
    <w:rsid w:val="000644EE"/>
    <w:rsid w:val="000656E0"/>
    <w:rsid w:val="00065DD6"/>
    <w:rsid w:val="00065EE9"/>
    <w:rsid w:val="00066EEA"/>
    <w:rsid w:val="00067191"/>
    <w:rsid w:val="0007106E"/>
    <w:rsid w:val="00071900"/>
    <w:rsid w:val="00071ABC"/>
    <w:rsid w:val="00071E6F"/>
    <w:rsid w:val="0007268E"/>
    <w:rsid w:val="00073012"/>
    <w:rsid w:val="000739D4"/>
    <w:rsid w:val="00074559"/>
    <w:rsid w:val="00074647"/>
    <w:rsid w:val="00075B43"/>
    <w:rsid w:val="00075DD7"/>
    <w:rsid w:val="00076634"/>
    <w:rsid w:val="00080BE4"/>
    <w:rsid w:val="00080CBF"/>
    <w:rsid w:val="0008357B"/>
    <w:rsid w:val="00083C7C"/>
    <w:rsid w:val="00084856"/>
    <w:rsid w:val="000856D7"/>
    <w:rsid w:val="0008593C"/>
    <w:rsid w:val="000869A3"/>
    <w:rsid w:val="00086BC2"/>
    <w:rsid w:val="00087546"/>
    <w:rsid w:val="000876FE"/>
    <w:rsid w:val="000879ED"/>
    <w:rsid w:val="0009027F"/>
    <w:rsid w:val="00090979"/>
    <w:rsid w:val="00091D9B"/>
    <w:rsid w:val="000925AD"/>
    <w:rsid w:val="00092CA6"/>
    <w:rsid w:val="00092DFA"/>
    <w:rsid w:val="00094E36"/>
    <w:rsid w:val="00095124"/>
    <w:rsid w:val="00095EE2"/>
    <w:rsid w:val="00097F11"/>
    <w:rsid w:val="000A0426"/>
    <w:rsid w:val="000A0A47"/>
    <w:rsid w:val="000A20FB"/>
    <w:rsid w:val="000A217B"/>
    <w:rsid w:val="000A2472"/>
    <w:rsid w:val="000A24EB"/>
    <w:rsid w:val="000A2E3E"/>
    <w:rsid w:val="000A38CF"/>
    <w:rsid w:val="000A39C1"/>
    <w:rsid w:val="000A4801"/>
    <w:rsid w:val="000A566C"/>
    <w:rsid w:val="000A5975"/>
    <w:rsid w:val="000A59F7"/>
    <w:rsid w:val="000B024F"/>
    <w:rsid w:val="000B0793"/>
    <w:rsid w:val="000B1727"/>
    <w:rsid w:val="000B1F88"/>
    <w:rsid w:val="000B2E9E"/>
    <w:rsid w:val="000B6923"/>
    <w:rsid w:val="000B6C67"/>
    <w:rsid w:val="000B7029"/>
    <w:rsid w:val="000B735D"/>
    <w:rsid w:val="000C033C"/>
    <w:rsid w:val="000C0C1F"/>
    <w:rsid w:val="000C2B65"/>
    <w:rsid w:val="000C4551"/>
    <w:rsid w:val="000C5F3C"/>
    <w:rsid w:val="000C69DD"/>
    <w:rsid w:val="000C6DCC"/>
    <w:rsid w:val="000C7D98"/>
    <w:rsid w:val="000D0A5B"/>
    <w:rsid w:val="000D1204"/>
    <w:rsid w:val="000D1984"/>
    <w:rsid w:val="000D38C0"/>
    <w:rsid w:val="000D3C0F"/>
    <w:rsid w:val="000D4356"/>
    <w:rsid w:val="000D47AA"/>
    <w:rsid w:val="000D4B51"/>
    <w:rsid w:val="000D5DB1"/>
    <w:rsid w:val="000D6300"/>
    <w:rsid w:val="000D721F"/>
    <w:rsid w:val="000D7DCC"/>
    <w:rsid w:val="000E069B"/>
    <w:rsid w:val="000E0E82"/>
    <w:rsid w:val="000E1017"/>
    <w:rsid w:val="000E1C30"/>
    <w:rsid w:val="000E1DC5"/>
    <w:rsid w:val="000E2187"/>
    <w:rsid w:val="000E223F"/>
    <w:rsid w:val="000E2B80"/>
    <w:rsid w:val="000E35AC"/>
    <w:rsid w:val="000E4B29"/>
    <w:rsid w:val="000E56CF"/>
    <w:rsid w:val="000E66DC"/>
    <w:rsid w:val="000E7D45"/>
    <w:rsid w:val="000F1967"/>
    <w:rsid w:val="000F3847"/>
    <w:rsid w:val="000F4423"/>
    <w:rsid w:val="000F46BB"/>
    <w:rsid w:val="000F67DB"/>
    <w:rsid w:val="000F696F"/>
    <w:rsid w:val="000F6E61"/>
    <w:rsid w:val="000F7851"/>
    <w:rsid w:val="00100BA2"/>
    <w:rsid w:val="00100D99"/>
    <w:rsid w:val="00100E20"/>
    <w:rsid w:val="00100E68"/>
    <w:rsid w:val="0010159B"/>
    <w:rsid w:val="00102213"/>
    <w:rsid w:val="00102570"/>
    <w:rsid w:val="0010258E"/>
    <w:rsid w:val="001033F7"/>
    <w:rsid w:val="00103AF7"/>
    <w:rsid w:val="0010442C"/>
    <w:rsid w:val="0010468E"/>
    <w:rsid w:val="00104E23"/>
    <w:rsid w:val="001053B0"/>
    <w:rsid w:val="00107A34"/>
    <w:rsid w:val="00107EB7"/>
    <w:rsid w:val="001106BD"/>
    <w:rsid w:val="00110EFC"/>
    <w:rsid w:val="00111B0C"/>
    <w:rsid w:val="001124F9"/>
    <w:rsid w:val="00112731"/>
    <w:rsid w:val="001148A9"/>
    <w:rsid w:val="00115A3E"/>
    <w:rsid w:val="0011699B"/>
    <w:rsid w:val="00120D0D"/>
    <w:rsid w:val="00120D6C"/>
    <w:rsid w:val="00121894"/>
    <w:rsid w:val="0012219E"/>
    <w:rsid w:val="001234FB"/>
    <w:rsid w:val="00123A23"/>
    <w:rsid w:val="001257EC"/>
    <w:rsid w:val="00126CF6"/>
    <w:rsid w:val="00126F8F"/>
    <w:rsid w:val="001278BA"/>
    <w:rsid w:val="00130EB3"/>
    <w:rsid w:val="00130F13"/>
    <w:rsid w:val="00131F93"/>
    <w:rsid w:val="00132524"/>
    <w:rsid w:val="0013265B"/>
    <w:rsid w:val="00132682"/>
    <w:rsid w:val="001327A8"/>
    <w:rsid w:val="00132C6A"/>
    <w:rsid w:val="0013358D"/>
    <w:rsid w:val="001337AC"/>
    <w:rsid w:val="00133D33"/>
    <w:rsid w:val="00134D64"/>
    <w:rsid w:val="00135637"/>
    <w:rsid w:val="00135A30"/>
    <w:rsid w:val="0013612C"/>
    <w:rsid w:val="001373BC"/>
    <w:rsid w:val="00137595"/>
    <w:rsid w:val="0013763F"/>
    <w:rsid w:val="00137FF6"/>
    <w:rsid w:val="001414EB"/>
    <w:rsid w:val="00141650"/>
    <w:rsid w:val="0014240E"/>
    <w:rsid w:val="001429CF"/>
    <w:rsid w:val="00142FC0"/>
    <w:rsid w:val="001432CD"/>
    <w:rsid w:val="0014488D"/>
    <w:rsid w:val="00144B75"/>
    <w:rsid w:val="001452E5"/>
    <w:rsid w:val="001455E5"/>
    <w:rsid w:val="001471B2"/>
    <w:rsid w:val="00147CDC"/>
    <w:rsid w:val="00150F99"/>
    <w:rsid w:val="00151C27"/>
    <w:rsid w:val="00152526"/>
    <w:rsid w:val="00152BAD"/>
    <w:rsid w:val="00154E86"/>
    <w:rsid w:val="001552FE"/>
    <w:rsid w:val="0015570D"/>
    <w:rsid w:val="001558B6"/>
    <w:rsid w:val="001565DF"/>
    <w:rsid w:val="0016070F"/>
    <w:rsid w:val="00161BDC"/>
    <w:rsid w:val="00161D86"/>
    <w:rsid w:val="00162605"/>
    <w:rsid w:val="00162A12"/>
    <w:rsid w:val="00162A94"/>
    <w:rsid w:val="00166530"/>
    <w:rsid w:val="00170625"/>
    <w:rsid w:val="001711B0"/>
    <w:rsid w:val="00171300"/>
    <w:rsid w:val="00172424"/>
    <w:rsid w:val="0017264C"/>
    <w:rsid w:val="0017327A"/>
    <w:rsid w:val="00173F69"/>
    <w:rsid w:val="0017435C"/>
    <w:rsid w:val="00174BB1"/>
    <w:rsid w:val="00174E8C"/>
    <w:rsid w:val="00175399"/>
    <w:rsid w:val="00176C9E"/>
    <w:rsid w:val="00176DE1"/>
    <w:rsid w:val="00181A65"/>
    <w:rsid w:val="00181E03"/>
    <w:rsid w:val="00182B41"/>
    <w:rsid w:val="00182F76"/>
    <w:rsid w:val="001832BD"/>
    <w:rsid w:val="00183DE4"/>
    <w:rsid w:val="00184E17"/>
    <w:rsid w:val="00185E99"/>
    <w:rsid w:val="00185FDD"/>
    <w:rsid w:val="00186892"/>
    <w:rsid w:val="00186B32"/>
    <w:rsid w:val="00186BAB"/>
    <w:rsid w:val="00187D7F"/>
    <w:rsid w:val="00190037"/>
    <w:rsid w:val="001930BE"/>
    <w:rsid w:val="00193B1F"/>
    <w:rsid w:val="001943B5"/>
    <w:rsid w:val="00194BE9"/>
    <w:rsid w:val="00195134"/>
    <w:rsid w:val="00196702"/>
    <w:rsid w:val="00197383"/>
    <w:rsid w:val="00197726"/>
    <w:rsid w:val="0019775E"/>
    <w:rsid w:val="001977B0"/>
    <w:rsid w:val="001A09E2"/>
    <w:rsid w:val="001A145B"/>
    <w:rsid w:val="001A30E8"/>
    <w:rsid w:val="001A362C"/>
    <w:rsid w:val="001A4030"/>
    <w:rsid w:val="001A5AAD"/>
    <w:rsid w:val="001A674C"/>
    <w:rsid w:val="001B03C5"/>
    <w:rsid w:val="001B07EF"/>
    <w:rsid w:val="001B093E"/>
    <w:rsid w:val="001B1129"/>
    <w:rsid w:val="001B1D34"/>
    <w:rsid w:val="001B2010"/>
    <w:rsid w:val="001B35AA"/>
    <w:rsid w:val="001B3B24"/>
    <w:rsid w:val="001B55EC"/>
    <w:rsid w:val="001B61C4"/>
    <w:rsid w:val="001B70BC"/>
    <w:rsid w:val="001C0B6B"/>
    <w:rsid w:val="001C0F98"/>
    <w:rsid w:val="001C2A42"/>
    <w:rsid w:val="001C42A8"/>
    <w:rsid w:val="001C592D"/>
    <w:rsid w:val="001C65E2"/>
    <w:rsid w:val="001C760D"/>
    <w:rsid w:val="001C79DB"/>
    <w:rsid w:val="001D0F46"/>
    <w:rsid w:val="001D22A5"/>
    <w:rsid w:val="001D29D7"/>
    <w:rsid w:val="001D2F29"/>
    <w:rsid w:val="001D3623"/>
    <w:rsid w:val="001D3DF2"/>
    <w:rsid w:val="001D42A7"/>
    <w:rsid w:val="001D440E"/>
    <w:rsid w:val="001D4AB1"/>
    <w:rsid w:val="001D4DC9"/>
    <w:rsid w:val="001D5592"/>
    <w:rsid w:val="001D63ED"/>
    <w:rsid w:val="001D7348"/>
    <w:rsid w:val="001E0264"/>
    <w:rsid w:val="001E035B"/>
    <w:rsid w:val="001E0961"/>
    <w:rsid w:val="001E1392"/>
    <w:rsid w:val="001E168E"/>
    <w:rsid w:val="001E23E8"/>
    <w:rsid w:val="001E27AA"/>
    <w:rsid w:val="001E2E34"/>
    <w:rsid w:val="001E2ECD"/>
    <w:rsid w:val="001E3BF5"/>
    <w:rsid w:val="001E3EAE"/>
    <w:rsid w:val="001E3F8B"/>
    <w:rsid w:val="001E5348"/>
    <w:rsid w:val="001E58B2"/>
    <w:rsid w:val="001E5CD7"/>
    <w:rsid w:val="001E6F32"/>
    <w:rsid w:val="001E707A"/>
    <w:rsid w:val="001E7EE8"/>
    <w:rsid w:val="001E7F7D"/>
    <w:rsid w:val="001E7FAA"/>
    <w:rsid w:val="001F025D"/>
    <w:rsid w:val="001F08B3"/>
    <w:rsid w:val="001F155C"/>
    <w:rsid w:val="001F19F2"/>
    <w:rsid w:val="001F1A5A"/>
    <w:rsid w:val="001F2145"/>
    <w:rsid w:val="001F2A50"/>
    <w:rsid w:val="001F39E5"/>
    <w:rsid w:val="001F3EF8"/>
    <w:rsid w:val="001F6262"/>
    <w:rsid w:val="001F63B5"/>
    <w:rsid w:val="001F6629"/>
    <w:rsid w:val="001F67B0"/>
    <w:rsid w:val="001F7B18"/>
    <w:rsid w:val="001F7B3D"/>
    <w:rsid w:val="001F7CE2"/>
    <w:rsid w:val="002013FA"/>
    <w:rsid w:val="002014AB"/>
    <w:rsid w:val="002018F7"/>
    <w:rsid w:val="00201BFE"/>
    <w:rsid w:val="00202F53"/>
    <w:rsid w:val="00204040"/>
    <w:rsid w:val="0020459A"/>
    <w:rsid w:val="00205F9F"/>
    <w:rsid w:val="0020788B"/>
    <w:rsid w:val="00207928"/>
    <w:rsid w:val="00210338"/>
    <w:rsid w:val="0021122A"/>
    <w:rsid w:val="002115FC"/>
    <w:rsid w:val="00213192"/>
    <w:rsid w:val="002133F8"/>
    <w:rsid w:val="0021345D"/>
    <w:rsid w:val="00213605"/>
    <w:rsid w:val="0021371B"/>
    <w:rsid w:val="0021423C"/>
    <w:rsid w:val="00215B78"/>
    <w:rsid w:val="0021626C"/>
    <w:rsid w:val="00217DB2"/>
    <w:rsid w:val="00217F64"/>
    <w:rsid w:val="00220B13"/>
    <w:rsid w:val="002219C7"/>
    <w:rsid w:val="00221A86"/>
    <w:rsid w:val="00221B57"/>
    <w:rsid w:val="00224187"/>
    <w:rsid w:val="00224D5D"/>
    <w:rsid w:val="00225D14"/>
    <w:rsid w:val="00225F2D"/>
    <w:rsid w:val="00227F94"/>
    <w:rsid w:val="00230165"/>
    <w:rsid w:val="002302D7"/>
    <w:rsid w:val="00230D00"/>
    <w:rsid w:val="002310E3"/>
    <w:rsid w:val="0023123A"/>
    <w:rsid w:val="00231892"/>
    <w:rsid w:val="00231DF7"/>
    <w:rsid w:val="00231F6D"/>
    <w:rsid w:val="00231FD1"/>
    <w:rsid w:val="0023291E"/>
    <w:rsid w:val="002339E0"/>
    <w:rsid w:val="00233C41"/>
    <w:rsid w:val="00233CF8"/>
    <w:rsid w:val="00233FC0"/>
    <w:rsid w:val="0023575D"/>
    <w:rsid w:val="00237148"/>
    <w:rsid w:val="0024014C"/>
    <w:rsid w:val="00240B6F"/>
    <w:rsid w:val="00241CAF"/>
    <w:rsid w:val="0024222D"/>
    <w:rsid w:val="00244B0E"/>
    <w:rsid w:val="00244F6C"/>
    <w:rsid w:val="00245BCE"/>
    <w:rsid w:val="00247622"/>
    <w:rsid w:val="0024767D"/>
    <w:rsid w:val="00252E4D"/>
    <w:rsid w:val="002531FB"/>
    <w:rsid w:val="002532C5"/>
    <w:rsid w:val="00253309"/>
    <w:rsid w:val="002534AE"/>
    <w:rsid w:val="0025393A"/>
    <w:rsid w:val="00253FBE"/>
    <w:rsid w:val="0025430C"/>
    <w:rsid w:val="00255664"/>
    <w:rsid w:val="00257799"/>
    <w:rsid w:val="00257B9F"/>
    <w:rsid w:val="00257FB5"/>
    <w:rsid w:val="00260C03"/>
    <w:rsid w:val="00260DEE"/>
    <w:rsid w:val="00260EE1"/>
    <w:rsid w:val="002615A1"/>
    <w:rsid w:val="0026271F"/>
    <w:rsid w:val="00262E6B"/>
    <w:rsid w:val="0026540E"/>
    <w:rsid w:val="002673BF"/>
    <w:rsid w:val="00267AC2"/>
    <w:rsid w:val="0027225C"/>
    <w:rsid w:val="0027363D"/>
    <w:rsid w:val="002737A5"/>
    <w:rsid w:val="00275123"/>
    <w:rsid w:val="002776FB"/>
    <w:rsid w:val="00277F8B"/>
    <w:rsid w:val="00280131"/>
    <w:rsid w:val="002803CB"/>
    <w:rsid w:val="00280509"/>
    <w:rsid w:val="00280E73"/>
    <w:rsid w:val="00281379"/>
    <w:rsid w:val="002817D6"/>
    <w:rsid w:val="00281DF9"/>
    <w:rsid w:val="00282240"/>
    <w:rsid w:val="00282A25"/>
    <w:rsid w:val="00282E7A"/>
    <w:rsid w:val="00283C49"/>
    <w:rsid w:val="00285142"/>
    <w:rsid w:val="002855F4"/>
    <w:rsid w:val="0028572A"/>
    <w:rsid w:val="00287742"/>
    <w:rsid w:val="002879FF"/>
    <w:rsid w:val="0029073F"/>
    <w:rsid w:val="00290B50"/>
    <w:rsid w:val="0029183B"/>
    <w:rsid w:val="00292275"/>
    <w:rsid w:val="00292BDA"/>
    <w:rsid w:val="002948AD"/>
    <w:rsid w:val="00294C05"/>
    <w:rsid w:val="00294C92"/>
    <w:rsid w:val="00295017"/>
    <w:rsid w:val="002951DC"/>
    <w:rsid w:val="00295730"/>
    <w:rsid w:val="002A01CC"/>
    <w:rsid w:val="002A0446"/>
    <w:rsid w:val="002A13E5"/>
    <w:rsid w:val="002A39DE"/>
    <w:rsid w:val="002A3A79"/>
    <w:rsid w:val="002A3FA0"/>
    <w:rsid w:val="002A5985"/>
    <w:rsid w:val="002A61B1"/>
    <w:rsid w:val="002A663C"/>
    <w:rsid w:val="002A68CC"/>
    <w:rsid w:val="002A7243"/>
    <w:rsid w:val="002A7E5A"/>
    <w:rsid w:val="002B0489"/>
    <w:rsid w:val="002B166A"/>
    <w:rsid w:val="002B1E6C"/>
    <w:rsid w:val="002B2093"/>
    <w:rsid w:val="002B2957"/>
    <w:rsid w:val="002B3561"/>
    <w:rsid w:val="002B3A5C"/>
    <w:rsid w:val="002B41AE"/>
    <w:rsid w:val="002B444B"/>
    <w:rsid w:val="002B572E"/>
    <w:rsid w:val="002B5887"/>
    <w:rsid w:val="002B5FC1"/>
    <w:rsid w:val="002B6BA8"/>
    <w:rsid w:val="002B7927"/>
    <w:rsid w:val="002C02A5"/>
    <w:rsid w:val="002C0692"/>
    <w:rsid w:val="002C0E27"/>
    <w:rsid w:val="002C1669"/>
    <w:rsid w:val="002C3040"/>
    <w:rsid w:val="002C35B0"/>
    <w:rsid w:val="002C4475"/>
    <w:rsid w:val="002C45DC"/>
    <w:rsid w:val="002C50DF"/>
    <w:rsid w:val="002C7B19"/>
    <w:rsid w:val="002D022D"/>
    <w:rsid w:val="002D0C2D"/>
    <w:rsid w:val="002D10F2"/>
    <w:rsid w:val="002D145D"/>
    <w:rsid w:val="002D205B"/>
    <w:rsid w:val="002D222E"/>
    <w:rsid w:val="002D24BB"/>
    <w:rsid w:val="002D34CF"/>
    <w:rsid w:val="002D3AC3"/>
    <w:rsid w:val="002D3B96"/>
    <w:rsid w:val="002D4BB8"/>
    <w:rsid w:val="002D5AC0"/>
    <w:rsid w:val="002D6079"/>
    <w:rsid w:val="002D6433"/>
    <w:rsid w:val="002D6AA4"/>
    <w:rsid w:val="002D7376"/>
    <w:rsid w:val="002D74C3"/>
    <w:rsid w:val="002D7604"/>
    <w:rsid w:val="002D7B10"/>
    <w:rsid w:val="002D7D02"/>
    <w:rsid w:val="002E0FB9"/>
    <w:rsid w:val="002E3A0C"/>
    <w:rsid w:val="002E5776"/>
    <w:rsid w:val="002E6CD2"/>
    <w:rsid w:val="002F065D"/>
    <w:rsid w:val="002F157B"/>
    <w:rsid w:val="002F1B97"/>
    <w:rsid w:val="002F25CD"/>
    <w:rsid w:val="002F2AF7"/>
    <w:rsid w:val="002F2C95"/>
    <w:rsid w:val="002F3BE0"/>
    <w:rsid w:val="002F3D57"/>
    <w:rsid w:val="002F52D6"/>
    <w:rsid w:val="002F593D"/>
    <w:rsid w:val="002F5BAB"/>
    <w:rsid w:val="002F5F77"/>
    <w:rsid w:val="002F7980"/>
    <w:rsid w:val="002F7E12"/>
    <w:rsid w:val="002F7E1C"/>
    <w:rsid w:val="0030093B"/>
    <w:rsid w:val="003009AF"/>
    <w:rsid w:val="0030104D"/>
    <w:rsid w:val="003012A9"/>
    <w:rsid w:val="003015F0"/>
    <w:rsid w:val="00301A75"/>
    <w:rsid w:val="00301C7E"/>
    <w:rsid w:val="00301E51"/>
    <w:rsid w:val="00302F70"/>
    <w:rsid w:val="0030336F"/>
    <w:rsid w:val="0030375E"/>
    <w:rsid w:val="00305AD2"/>
    <w:rsid w:val="00305B58"/>
    <w:rsid w:val="00305CB0"/>
    <w:rsid w:val="00305FD7"/>
    <w:rsid w:val="00306F68"/>
    <w:rsid w:val="00307344"/>
    <w:rsid w:val="00307E68"/>
    <w:rsid w:val="00310312"/>
    <w:rsid w:val="003118F4"/>
    <w:rsid w:val="003129E1"/>
    <w:rsid w:val="00312A30"/>
    <w:rsid w:val="00312C45"/>
    <w:rsid w:val="00312C56"/>
    <w:rsid w:val="00313C94"/>
    <w:rsid w:val="00316B54"/>
    <w:rsid w:val="00320F72"/>
    <w:rsid w:val="0032145D"/>
    <w:rsid w:val="00322023"/>
    <w:rsid w:val="0032463E"/>
    <w:rsid w:val="00324FCA"/>
    <w:rsid w:val="0032536B"/>
    <w:rsid w:val="00325733"/>
    <w:rsid w:val="00325A3B"/>
    <w:rsid w:val="00325B65"/>
    <w:rsid w:val="00326224"/>
    <w:rsid w:val="0032676F"/>
    <w:rsid w:val="00326BB6"/>
    <w:rsid w:val="00326EA5"/>
    <w:rsid w:val="00327120"/>
    <w:rsid w:val="00327953"/>
    <w:rsid w:val="00327B85"/>
    <w:rsid w:val="0033103B"/>
    <w:rsid w:val="0033118B"/>
    <w:rsid w:val="00331E5F"/>
    <w:rsid w:val="0033257A"/>
    <w:rsid w:val="00333E7A"/>
    <w:rsid w:val="0033420C"/>
    <w:rsid w:val="00335E1B"/>
    <w:rsid w:val="00336111"/>
    <w:rsid w:val="0033670C"/>
    <w:rsid w:val="0033704C"/>
    <w:rsid w:val="00337EE4"/>
    <w:rsid w:val="00340705"/>
    <w:rsid w:val="00340CDC"/>
    <w:rsid w:val="00340FFD"/>
    <w:rsid w:val="00344A83"/>
    <w:rsid w:val="00344E51"/>
    <w:rsid w:val="0034627E"/>
    <w:rsid w:val="00347818"/>
    <w:rsid w:val="003501E3"/>
    <w:rsid w:val="0035044F"/>
    <w:rsid w:val="003506B1"/>
    <w:rsid w:val="00350BDF"/>
    <w:rsid w:val="003510BB"/>
    <w:rsid w:val="00351BF7"/>
    <w:rsid w:val="003521EA"/>
    <w:rsid w:val="00353F98"/>
    <w:rsid w:val="00354DD2"/>
    <w:rsid w:val="00354EAD"/>
    <w:rsid w:val="00356AC7"/>
    <w:rsid w:val="003609FA"/>
    <w:rsid w:val="00360EDC"/>
    <w:rsid w:val="00361A32"/>
    <w:rsid w:val="003620D8"/>
    <w:rsid w:val="0036346B"/>
    <w:rsid w:val="0036453D"/>
    <w:rsid w:val="00365DFC"/>
    <w:rsid w:val="00366999"/>
    <w:rsid w:val="003676EA"/>
    <w:rsid w:val="00367C5E"/>
    <w:rsid w:val="003701C4"/>
    <w:rsid w:val="003710C8"/>
    <w:rsid w:val="00372C3C"/>
    <w:rsid w:val="003737C0"/>
    <w:rsid w:val="00374587"/>
    <w:rsid w:val="0037483D"/>
    <w:rsid w:val="00374A1B"/>
    <w:rsid w:val="00374B9C"/>
    <w:rsid w:val="003750BE"/>
    <w:rsid w:val="0037602C"/>
    <w:rsid w:val="00376B39"/>
    <w:rsid w:val="00377F6D"/>
    <w:rsid w:val="003802DF"/>
    <w:rsid w:val="00380957"/>
    <w:rsid w:val="00382870"/>
    <w:rsid w:val="00384B96"/>
    <w:rsid w:val="00385A76"/>
    <w:rsid w:val="00385B80"/>
    <w:rsid w:val="00385FCC"/>
    <w:rsid w:val="00386AA0"/>
    <w:rsid w:val="00387B9D"/>
    <w:rsid w:val="003901BA"/>
    <w:rsid w:val="003912E1"/>
    <w:rsid w:val="00391399"/>
    <w:rsid w:val="00392079"/>
    <w:rsid w:val="00392286"/>
    <w:rsid w:val="00392C7C"/>
    <w:rsid w:val="0039364F"/>
    <w:rsid w:val="00393E86"/>
    <w:rsid w:val="0039400D"/>
    <w:rsid w:val="00395765"/>
    <w:rsid w:val="003958DB"/>
    <w:rsid w:val="0039591A"/>
    <w:rsid w:val="00396686"/>
    <w:rsid w:val="00396F61"/>
    <w:rsid w:val="0039778E"/>
    <w:rsid w:val="00397950"/>
    <w:rsid w:val="0039797E"/>
    <w:rsid w:val="00397ED2"/>
    <w:rsid w:val="003A12D1"/>
    <w:rsid w:val="003A1360"/>
    <w:rsid w:val="003A2903"/>
    <w:rsid w:val="003A441D"/>
    <w:rsid w:val="003A5C72"/>
    <w:rsid w:val="003A6CE1"/>
    <w:rsid w:val="003A72B8"/>
    <w:rsid w:val="003A738E"/>
    <w:rsid w:val="003A7651"/>
    <w:rsid w:val="003A7EC3"/>
    <w:rsid w:val="003B0027"/>
    <w:rsid w:val="003B0512"/>
    <w:rsid w:val="003B1859"/>
    <w:rsid w:val="003B2186"/>
    <w:rsid w:val="003B3111"/>
    <w:rsid w:val="003B4941"/>
    <w:rsid w:val="003B5028"/>
    <w:rsid w:val="003B5211"/>
    <w:rsid w:val="003B76B0"/>
    <w:rsid w:val="003B7A19"/>
    <w:rsid w:val="003C09DF"/>
    <w:rsid w:val="003C3262"/>
    <w:rsid w:val="003C37D6"/>
    <w:rsid w:val="003C3A72"/>
    <w:rsid w:val="003C5714"/>
    <w:rsid w:val="003C5F4C"/>
    <w:rsid w:val="003C6B9F"/>
    <w:rsid w:val="003C6DE3"/>
    <w:rsid w:val="003C6E2A"/>
    <w:rsid w:val="003D0299"/>
    <w:rsid w:val="003D0A08"/>
    <w:rsid w:val="003D253E"/>
    <w:rsid w:val="003D2544"/>
    <w:rsid w:val="003D3578"/>
    <w:rsid w:val="003D52C3"/>
    <w:rsid w:val="003D5556"/>
    <w:rsid w:val="003D5FEF"/>
    <w:rsid w:val="003E0D3E"/>
    <w:rsid w:val="003E362D"/>
    <w:rsid w:val="003E68A3"/>
    <w:rsid w:val="003E6D80"/>
    <w:rsid w:val="003E70F2"/>
    <w:rsid w:val="003F05FA"/>
    <w:rsid w:val="003F1B10"/>
    <w:rsid w:val="003F244A"/>
    <w:rsid w:val="003F30B8"/>
    <w:rsid w:val="003F3D75"/>
    <w:rsid w:val="003F42C5"/>
    <w:rsid w:val="003F4BBD"/>
    <w:rsid w:val="003F4C45"/>
    <w:rsid w:val="003F5F7B"/>
    <w:rsid w:val="003F6651"/>
    <w:rsid w:val="003F68D0"/>
    <w:rsid w:val="003F6E55"/>
    <w:rsid w:val="003F6E78"/>
    <w:rsid w:val="003F7D64"/>
    <w:rsid w:val="0040201E"/>
    <w:rsid w:val="004020DB"/>
    <w:rsid w:val="0040234C"/>
    <w:rsid w:val="00402751"/>
    <w:rsid w:val="00402B3E"/>
    <w:rsid w:val="00402C9B"/>
    <w:rsid w:val="0040391E"/>
    <w:rsid w:val="00404949"/>
    <w:rsid w:val="00404CAE"/>
    <w:rsid w:val="00404DAF"/>
    <w:rsid w:val="00404E8F"/>
    <w:rsid w:val="004054D6"/>
    <w:rsid w:val="00405FCE"/>
    <w:rsid w:val="004069AB"/>
    <w:rsid w:val="0040716E"/>
    <w:rsid w:val="00407B6C"/>
    <w:rsid w:val="00407E1F"/>
    <w:rsid w:val="00410EF9"/>
    <w:rsid w:val="00413037"/>
    <w:rsid w:val="00414300"/>
    <w:rsid w:val="00416244"/>
    <w:rsid w:val="0041665C"/>
    <w:rsid w:val="00416A58"/>
    <w:rsid w:val="00416F50"/>
    <w:rsid w:val="00416F7A"/>
    <w:rsid w:val="004175FC"/>
    <w:rsid w:val="00417A14"/>
    <w:rsid w:val="00420E04"/>
    <w:rsid w:val="004215B5"/>
    <w:rsid w:val="00421DE9"/>
    <w:rsid w:val="00422909"/>
    <w:rsid w:val="0042404F"/>
    <w:rsid w:val="0042478E"/>
    <w:rsid w:val="00425664"/>
    <w:rsid w:val="00425B0F"/>
    <w:rsid w:val="00425C67"/>
    <w:rsid w:val="00426288"/>
    <w:rsid w:val="00426431"/>
    <w:rsid w:val="004273BF"/>
    <w:rsid w:val="00427E7A"/>
    <w:rsid w:val="00430162"/>
    <w:rsid w:val="004317E4"/>
    <w:rsid w:val="00432E13"/>
    <w:rsid w:val="00433678"/>
    <w:rsid w:val="00434B37"/>
    <w:rsid w:val="00435473"/>
    <w:rsid w:val="00436071"/>
    <w:rsid w:val="00436307"/>
    <w:rsid w:val="00436C49"/>
    <w:rsid w:val="00440BE8"/>
    <w:rsid w:val="00441B68"/>
    <w:rsid w:val="0044262F"/>
    <w:rsid w:val="00442788"/>
    <w:rsid w:val="00444290"/>
    <w:rsid w:val="00444C89"/>
    <w:rsid w:val="00445366"/>
    <w:rsid w:val="0044598F"/>
    <w:rsid w:val="00445C8D"/>
    <w:rsid w:val="004479D2"/>
    <w:rsid w:val="00447D09"/>
    <w:rsid w:val="00447F5B"/>
    <w:rsid w:val="004527A2"/>
    <w:rsid w:val="00453D34"/>
    <w:rsid w:val="004547C0"/>
    <w:rsid w:val="00455644"/>
    <w:rsid w:val="00455B8B"/>
    <w:rsid w:val="0045720C"/>
    <w:rsid w:val="004575CC"/>
    <w:rsid w:val="004607D8"/>
    <w:rsid w:val="00461172"/>
    <w:rsid w:val="004611E2"/>
    <w:rsid w:val="00461DB0"/>
    <w:rsid w:val="00463926"/>
    <w:rsid w:val="00464097"/>
    <w:rsid w:val="004642D7"/>
    <w:rsid w:val="004643D3"/>
    <w:rsid w:val="004646E0"/>
    <w:rsid w:val="00464C9A"/>
    <w:rsid w:val="0046692F"/>
    <w:rsid w:val="00466BB6"/>
    <w:rsid w:val="0046765A"/>
    <w:rsid w:val="00467F96"/>
    <w:rsid w:val="004710B9"/>
    <w:rsid w:val="00474A9D"/>
    <w:rsid w:val="00474F3D"/>
    <w:rsid w:val="00476355"/>
    <w:rsid w:val="00476A57"/>
    <w:rsid w:val="00477E3A"/>
    <w:rsid w:val="004808D5"/>
    <w:rsid w:val="00480C0B"/>
    <w:rsid w:val="0048155F"/>
    <w:rsid w:val="00481930"/>
    <w:rsid w:val="00481B73"/>
    <w:rsid w:val="00481D88"/>
    <w:rsid w:val="00481E44"/>
    <w:rsid w:val="00482252"/>
    <w:rsid w:val="00482344"/>
    <w:rsid w:val="00483039"/>
    <w:rsid w:val="004836F4"/>
    <w:rsid w:val="00483E5F"/>
    <w:rsid w:val="00484747"/>
    <w:rsid w:val="004848C6"/>
    <w:rsid w:val="00485116"/>
    <w:rsid w:val="00485FF9"/>
    <w:rsid w:val="00486697"/>
    <w:rsid w:val="00486BC2"/>
    <w:rsid w:val="00490506"/>
    <w:rsid w:val="004907F0"/>
    <w:rsid w:val="0049083D"/>
    <w:rsid w:val="00490CFD"/>
    <w:rsid w:val="0049140B"/>
    <w:rsid w:val="004923A5"/>
    <w:rsid w:val="004923DB"/>
    <w:rsid w:val="0049484E"/>
    <w:rsid w:val="0049549A"/>
    <w:rsid w:val="0049588E"/>
    <w:rsid w:val="004960F4"/>
    <w:rsid w:val="00496BFB"/>
    <w:rsid w:val="00497981"/>
    <w:rsid w:val="004A08E3"/>
    <w:rsid w:val="004A1516"/>
    <w:rsid w:val="004A15C7"/>
    <w:rsid w:val="004A1E91"/>
    <w:rsid w:val="004A2585"/>
    <w:rsid w:val="004A3175"/>
    <w:rsid w:val="004A4106"/>
    <w:rsid w:val="004A4D1D"/>
    <w:rsid w:val="004A56C8"/>
    <w:rsid w:val="004A59D1"/>
    <w:rsid w:val="004A5AE5"/>
    <w:rsid w:val="004A66C7"/>
    <w:rsid w:val="004A69E2"/>
    <w:rsid w:val="004A6D64"/>
    <w:rsid w:val="004A6ED0"/>
    <w:rsid w:val="004A716D"/>
    <w:rsid w:val="004A7473"/>
    <w:rsid w:val="004A7D7D"/>
    <w:rsid w:val="004B013B"/>
    <w:rsid w:val="004B03E8"/>
    <w:rsid w:val="004B112B"/>
    <w:rsid w:val="004B1F75"/>
    <w:rsid w:val="004B3298"/>
    <w:rsid w:val="004B33B1"/>
    <w:rsid w:val="004B3464"/>
    <w:rsid w:val="004B3D23"/>
    <w:rsid w:val="004B47F4"/>
    <w:rsid w:val="004B4DFB"/>
    <w:rsid w:val="004B572E"/>
    <w:rsid w:val="004B5BE7"/>
    <w:rsid w:val="004B60C8"/>
    <w:rsid w:val="004B66F8"/>
    <w:rsid w:val="004B6A67"/>
    <w:rsid w:val="004B6A80"/>
    <w:rsid w:val="004B6B7A"/>
    <w:rsid w:val="004B6C02"/>
    <w:rsid w:val="004C01E4"/>
    <w:rsid w:val="004C086C"/>
    <w:rsid w:val="004C0916"/>
    <w:rsid w:val="004C133D"/>
    <w:rsid w:val="004C1D2B"/>
    <w:rsid w:val="004C1F56"/>
    <w:rsid w:val="004C27BC"/>
    <w:rsid w:val="004C285B"/>
    <w:rsid w:val="004C32CC"/>
    <w:rsid w:val="004C46A7"/>
    <w:rsid w:val="004C47E3"/>
    <w:rsid w:val="004C59B3"/>
    <w:rsid w:val="004C611E"/>
    <w:rsid w:val="004C680F"/>
    <w:rsid w:val="004C7362"/>
    <w:rsid w:val="004C773B"/>
    <w:rsid w:val="004D0924"/>
    <w:rsid w:val="004D0B12"/>
    <w:rsid w:val="004D0C6E"/>
    <w:rsid w:val="004D1302"/>
    <w:rsid w:val="004D15F3"/>
    <w:rsid w:val="004D3A3B"/>
    <w:rsid w:val="004D4270"/>
    <w:rsid w:val="004D5311"/>
    <w:rsid w:val="004D5BCA"/>
    <w:rsid w:val="004D5DCC"/>
    <w:rsid w:val="004E042D"/>
    <w:rsid w:val="004E054B"/>
    <w:rsid w:val="004E23BB"/>
    <w:rsid w:val="004E23EA"/>
    <w:rsid w:val="004E26D7"/>
    <w:rsid w:val="004E26DB"/>
    <w:rsid w:val="004E28D8"/>
    <w:rsid w:val="004E593B"/>
    <w:rsid w:val="004E5A05"/>
    <w:rsid w:val="004E690E"/>
    <w:rsid w:val="004F10AF"/>
    <w:rsid w:val="004F11A4"/>
    <w:rsid w:val="004F2389"/>
    <w:rsid w:val="004F304D"/>
    <w:rsid w:val="004F3328"/>
    <w:rsid w:val="004F4322"/>
    <w:rsid w:val="004F46AA"/>
    <w:rsid w:val="004F54BC"/>
    <w:rsid w:val="004F61BE"/>
    <w:rsid w:val="004F644C"/>
    <w:rsid w:val="004F66B1"/>
    <w:rsid w:val="004F6780"/>
    <w:rsid w:val="004F6CBB"/>
    <w:rsid w:val="00500B65"/>
    <w:rsid w:val="0050111A"/>
    <w:rsid w:val="00503FDA"/>
    <w:rsid w:val="00504AC1"/>
    <w:rsid w:val="00504B88"/>
    <w:rsid w:val="00505AE1"/>
    <w:rsid w:val="0050600F"/>
    <w:rsid w:val="005060E2"/>
    <w:rsid w:val="005101CD"/>
    <w:rsid w:val="00510C4A"/>
    <w:rsid w:val="00511588"/>
    <w:rsid w:val="00511C07"/>
    <w:rsid w:val="00511C93"/>
    <w:rsid w:val="0051219F"/>
    <w:rsid w:val="005125CA"/>
    <w:rsid w:val="00512D5D"/>
    <w:rsid w:val="00514940"/>
    <w:rsid w:val="00514C36"/>
    <w:rsid w:val="0051703C"/>
    <w:rsid w:val="0051720D"/>
    <w:rsid w:val="0051735A"/>
    <w:rsid w:val="005173A6"/>
    <w:rsid w:val="00520BAA"/>
    <w:rsid w:val="00521EAD"/>
    <w:rsid w:val="005241D0"/>
    <w:rsid w:val="00524450"/>
    <w:rsid w:val="00524931"/>
    <w:rsid w:val="00524E0D"/>
    <w:rsid w:val="00525208"/>
    <w:rsid w:val="005257A5"/>
    <w:rsid w:val="00525865"/>
    <w:rsid w:val="00525D18"/>
    <w:rsid w:val="005264C0"/>
    <w:rsid w:val="00526A8A"/>
    <w:rsid w:val="00531291"/>
    <w:rsid w:val="00531655"/>
    <w:rsid w:val="00531DF2"/>
    <w:rsid w:val="0053340B"/>
    <w:rsid w:val="00535BB8"/>
    <w:rsid w:val="00536287"/>
    <w:rsid w:val="00541696"/>
    <w:rsid w:val="0054187F"/>
    <w:rsid w:val="005420FF"/>
    <w:rsid w:val="005425F7"/>
    <w:rsid w:val="00543F7C"/>
    <w:rsid w:val="005442EE"/>
    <w:rsid w:val="00544592"/>
    <w:rsid w:val="0054522B"/>
    <w:rsid w:val="00545298"/>
    <w:rsid w:val="00547353"/>
    <w:rsid w:val="005474E7"/>
    <w:rsid w:val="005512A3"/>
    <w:rsid w:val="005518A6"/>
    <w:rsid w:val="00551E43"/>
    <w:rsid w:val="00552DC8"/>
    <w:rsid w:val="00552F3A"/>
    <w:rsid w:val="005559FE"/>
    <w:rsid w:val="00555B13"/>
    <w:rsid w:val="00555BCD"/>
    <w:rsid w:val="00556BAD"/>
    <w:rsid w:val="005578CE"/>
    <w:rsid w:val="00557B38"/>
    <w:rsid w:val="00560998"/>
    <w:rsid w:val="00561625"/>
    <w:rsid w:val="00561656"/>
    <w:rsid w:val="00562781"/>
    <w:rsid w:val="00563A9A"/>
    <w:rsid w:val="00563D3F"/>
    <w:rsid w:val="00563E83"/>
    <w:rsid w:val="00564B35"/>
    <w:rsid w:val="00564C7C"/>
    <w:rsid w:val="0056532B"/>
    <w:rsid w:val="00565CF2"/>
    <w:rsid w:val="0056638F"/>
    <w:rsid w:val="00567126"/>
    <w:rsid w:val="00570594"/>
    <w:rsid w:val="005706C6"/>
    <w:rsid w:val="00571A4C"/>
    <w:rsid w:val="00571BB4"/>
    <w:rsid w:val="00571F6E"/>
    <w:rsid w:val="0057271C"/>
    <w:rsid w:val="00572845"/>
    <w:rsid w:val="00573225"/>
    <w:rsid w:val="00573C3F"/>
    <w:rsid w:val="0057502B"/>
    <w:rsid w:val="00575BC3"/>
    <w:rsid w:val="005802A5"/>
    <w:rsid w:val="00583332"/>
    <w:rsid w:val="00583E2E"/>
    <w:rsid w:val="00584C01"/>
    <w:rsid w:val="00585823"/>
    <w:rsid w:val="0058657A"/>
    <w:rsid w:val="00586B69"/>
    <w:rsid w:val="00587359"/>
    <w:rsid w:val="005877EE"/>
    <w:rsid w:val="00587FC5"/>
    <w:rsid w:val="005921ED"/>
    <w:rsid w:val="00592772"/>
    <w:rsid w:val="00593E9B"/>
    <w:rsid w:val="0059498E"/>
    <w:rsid w:val="00594A2A"/>
    <w:rsid w:val="0059574A"/>
    <w:rsid w:val="005963A6"/>
    <w:rsid w:val="00596EA7"/>
    <w:rsid w:val="00597523"/>
    <w:rsid w:val="005A1B9B"/>
    <w:rsid w:val="005A2D2D"/>
    <w:rsid w:val="005A337E"/>
    <w:rsid w:val="005A3CFA"/>
    <w:rsid w:val="005A4B1D"/>
    <w:rsid w:val="005A4B3E"/>
    <w:rsid w:val="005A4B61"/>
    <w:rsid w:val="005A521C"/>
    <w:rsid w:val="005A5A3C"/>
    <w:rsid w:val="005A5B11"/>
    <w:rsid w:val="005A62A7"/>
    <w:rsid w:val="005A6751"/>
    <w:rsid w:val="005A6E51"/>
    <w:rsid w:val="005A7088"/>
    <w:rsid w:val="005A768B"/>
    <w:rsid w:val="005A76AB"/>
    <w:rsid w:val="005A7C2D"/>
    <w:rsid w:val="005A7F64"/>
    <w:rsid w:val="005B092E"/>
    <w:rsid w:val="005B152C"/>
    <w:rsid w:val="005B1EE0"/>
    <w:rsid w:val="005B2B24"/>
    <w:rsid w:val="005B38F6"/>
    <w:rsid w:val="005B39B6"/>
    <w:rsid w:val="005B4425"/>
    <w:rsid w:val="005B4B94"/>
    <w:rsid w:val="005B4C3D"/>
    <w:rsid w:val="005B5E27"/>
    <w:rsid w:val="005B7DB1"/>
    <w:rsid w:val="005C086B"/>
    <w:rsid w:val="005C3EE8"/>
    <w:rsid w:val="005C450F"/>
    <w:rsid w:val="005C5975"/>
    <w:rsid w:val="005C6451"/>
    <w:rsid w:val="005C72AA"/>
    <w:rsid w:val="005C7EC1"/>
    <w:rsid w:val="005D0C1D"/>
    <w:rsid w:val="005D0C7A"/>
    <w:rsid w:val="005D1733"/>
    <w:rsid w:val="005D24AA"/>
    <w:rsid w:val="005D34F9"/>
    <w:rsid w:val="005D3F7C"/>
    <w:rsid w:val="005D4190"/>
    <w:rsid w:val="005D4641"/>
    <w:rsid w:val="005D5582"/>
    <w:rsid w:val="005D5F48"/>
    <w:rsid w:val="005D66CD"/>
    <w:rsid w:val="005D67A3"/>
    <w:rsid w:val="005E0006"/>
    <w:rsid w:val="005E025E"/>
    <w:rsid w:val="005E063B"/>
    <w:rsid w:val="005E2988"/>
    <w:rsid w:val="005E2A43"/>
    <w:rsid w:val="005E3085"/>
    <w:rsid w:val="005E39B1"/>
    <w:rsid w:val="005E3DF1"/>
    <w:rsid w:val="005E3FAD"/>
    <w:rsid w:val="005E438A"/>
    <w:rsid w:val="005E470E"/>
    <w:rsid w:val="005E477A"/>
    <w:rsid w:val="005E4FF6"/>
    <w:rsid w:val="005E5574"/>
    <w:rsid w:val="005E660F"/>
    <w:rsid w:val="005E6E47"/>
    <w:rsid w:val="005E76C1"/>
    <w:rsid w:val="005F02E3"/>
    <w:rsid w:val="005F1602"/>
    <w:rsid w:val="005F1B90"/>
    <w:rsid w:val="005F32DE"/>
    <w:rsid w:val="005F394E"/>
    <w:rsid w:val="005F51E1"/>
    <w:rsid w:val="005F6591"/>
    <w:rsid w:val="00600718"/>
    <w:rsid w:val="00601201"/>
    <w:rsid w:val="006015D2"/>
    <w:rsid w:val="00602619"/>
    <w:rsid w:val="00602CAF"/>
    <w:rsid w:val="00604834"/>
    <w:rsid w:val="0060486F"/>
    <w:rsid w:val="00605489"/>
    <w:rsid w:val="00605580"/>
    <w:rsid w:val="00611C80"/>
    <w:rsid w:val="00612B39"/>
    <w:rsid w:val="0061364D"/>
    <w:rsid w:val="006149AC"/>
    <w:rsid w:val="006149C8"/>
    <w:rsid w:val="00615EA3"/>
    <w:rsid w:val="00615F64"/>
    <w:rsid w:val="00617A86"/>
    <w:rsid w:val="00620152"/>
    <w:rsid w:val="006201EA"/>
    <w:rsid w:val="00620692"/>
    <w:rsid w:val="0062167E"/>
    <w:rsid w:val="006236DE"/>
    <w:rsid w:val="006242CA"/>
    <w:rsid w:val="00624B4D"/>
    <w:rsid w:val="0062506E"/>
    <w:rsid w:val="0062553B"/>
    <w:rsid w:val="00625FA3"/>
    <w:rsid w:val="0062672A"/>
    <w:rsid w:val="00627507"/>
    <w:rsid w:val="00627977"/>
    <w:rsid w:val="00631266"/>
    <w:rsid w:val="00633717"/>
    <w:rsid w:val="00633E63"/>
    <w:rsid w:val="006344E1"/>
    <w:rsid w:val="00636683"/>
    <w:rsid w:val="006369AF"/>
    <w:rsid w:val="00637271"/>
    <w:rsid w:val="0063727E"/>
    <w:rsid w:val="006377CC"/>
    <w:rsid w:val="00640E00"/>
    <w:rsid w:val="00641BF8"/>
    <w:rsid w:val="00641C1F"/>
    <w:rsid w:val="00641FE7"/>
    <w:rsid w:val="006422EC"/>
    <w:rsid w:val="00642A21"/>
    <w:rsid w:val="00643C3F"/>
    <w:rsid w:val="00644085"/>
    <w:rsid w:val="0064468C"/>
    <w:rsid w:val="0064505B"/>
    <w:rsid w:val="00650712"/>
    <w:rsid w:val="006510CE"/>
    <w:rsid w:val="00651BC2"/>
    <w:rsid w:val="00652073"/>
    <w:rsid w:val="00652540"/>
    <w:rsid w:val="0065280F"/>
    <w:rsid w:val="00653B1C"/>
    <w:rsid w:val="00654106"/>
    <w:rsid w:val="006545C4"/>
    <w:rsid w:val="00660461"/>
    <w:rsid w:val="00660ECE"/>
    <w:rsid w:val="0066190C"/>
    <w:rsid w:val="00661971"/>
    <w:rsid w:val="00661CE8"/>
    <w:rsid w:val="006623D9"/>
    <w:rsid w:val="006634E3"/>
    <w:rsid w:val="00664A6D"/>
    <w:rsid w:val="0066550C"/>
    <w:rsid w:val="00667370"/>
    <w:rsid w:val="00667B41"/>
    <w:rsid w:val="006716F2"/>
    <w:rsid w:val="00671F63"/>
    <w:rsid w:val="0067763B"/>
    <w:rsid w:val="00680628"/>
    <w:rsid w:val="006822EB"/>
    <w:rsid w:val="00682BF2"/>
    <w:rsid w:val="0068392B"/>
    <w:rsid w:val="00684AC8"/>
    <w:rsid w:val="00685670"/>
    <w:rsid w:val="006859CE"/>
    <w:rsid w:val="006865AD"/>
    <w:rsid w:val="00686834"/>
    <w:rsid w:val="00686870"/>
    <w:rsid w:val="00687874"/>
    <w:rsid w:val="00687A9B"/>
    <w:rsid w:val="00691270"/>
    <w:rsid w:val="00694BA8"/>
    <w:rsid w:val="00694BEA"/>
    <w:rsid w:val="00695258"/>
    <w:rsid w:val="00695C8A"/>
    <w:rsid w:val="0069693E"/>
    <w:rsid w:val="006A037C"/>
    <w:rsid w:val="006A1ED0"/>
    <w:rsid w:val="006A21BE"/>
    <w:rsid w:val="006A36F4"/>
    <w:rsid w:val="006A3F4B"/>
    <w:rsid w:val="006A406F"/>
    <w:rsid w:val="006A4845"/>
    <w:rsid w:val="006A49CC"/>
    <w:rsid w:val="006A4CF3"/>
    <w:rsid w:val="006A5C97"/>
    <w:rsid w:val="006A5D3A"/>
    <w:rsid w:val="006A6848"/>
    <w:rsid w:val="006A68C3"/>
    <w:rsid w:val="006A6BB4"/>
    <w:rsid w:val="006A7060"/>
    <w:rsid w:val="006A74A0"/>
    <w:rsid w:val="006B0B16"/>
    <w:rsid w:val="006B1D85"/>
    <w:rsid w:val="006B304B"/>
    <w:rsid w:val="006B3EBD"/>
    <w:rsid w:val="006C12B3"/>
    <w:rsid w:val="006C1CD0"/>
    <w:rsid w:val="006C2023"/>
    <w:rsid w:val="006C23D4"/>
    <w:rsid w:val="006C3181"/>
    <w:rsid w:val="006C340C"/>
    <w:rsid w:val="006C5929"/>
    <w:rsid w:val="006C76FB"/>
    <w:rsid w:val="006C7BB0"/>
    <w:rsid w:val="006D032F"/>
    <w:rsid w:val="006D0496"/>
    <w:rsid w:val="006D1B11"/>
    <w:rsid w:val="006D3237"/>
    <w:rsid w:val="006D3C23"/>
    <w:rsid w:val="006D4F30"/>
    <w:rsid w:val="006D65FD"/>
    <w:rsid w:val="006D6C05"/>
    <w:rsid w:val="006D75E7"/>
    <w:rsid w:val="006D7EB8"/>
    <w:rsid w:val="006E11D6"/>
    <w:rsid w:val="006E2881"/>
    <w:rsid w:val="006E2E37"/>
    <w:rsid w:val="006E327A"/>
    <w:rsid w:val="006E3CF1"/>
    <w:rsid w:val="006E46D3"/>
    <w:rsid w:val="006E59C4"/>
    <w:rsid w:val="006E756C"/>
    <w:rsid w:val="006E7626"/>
    <w:rsid w:val="006E7E80"/>
    <w:rsid w:val="006F0031"/>
    <w:rsid w:val="006F03F2"/>
    <w:rsid w:val="006F1660"/>
    <w:rsid w:val="006F1A90"/>
    <w:rsid w:val="006F1DF9"/>
    <w:rsid w:val="006F24C6"/>
    <w:rsid w:val="006F24DB"/>
    <w:rsid w:val="006F48CA"/>
    <w:rsid w:val="006F50F8"/>
    <w:rsid w:val="006F5A59"/>
    <w:rsid w:val="006F5DAA"/>
    <w:rsid w:val="006F64DD"/>
    <w:rsid w:val="006F78FA"/>
    <w:rsid w:val="00701500"/>
    <w:rsid w:val="00701F7E"/>
    <w:rsid w:val="00702D87"/>
    <w:rsid w:val="007042A2"/>
    <w:rsid w:val="00710595"/>
    <w:rsid w:val="00710F1B"/>
    <w:rsid w:val="00711E43"/>
    <w:rsid w:val="007123F7"/>
    <w:rsid w:val="0071432D"/>
    <w:rsid w:val="00715127"/>
    <w:rsid w:val="0071530C"/>
    <w:rsid w:val="0071579B"/>
    <w:rsid w:val="00715E8E"/>
    <w:rsid w:val="007162FD"/>
    <w:rsid w:val="00716FAF"/>
    <w:rsid w:val="00720A91"/>
    <w:rsid w:val="00720D2E"/>
    <w:rsid w:val="007232CF"/>
    <w:rsid w:val="0072350E"/>
    <w:rsid w:val="00723580"/>
    <w:rsid w:val="00723755"/>
    <w:rsid w:val="007253B9"/>
    <w:rsid w:val="0072553B"/>
    <w:rsid w:val="00726071"/>
    <w:rsid w:val="00726B0F"/>
    <w:rsid w:val="00727C73"/>
    <w:rsid w:val="00731101"/>
    <w:rsid w:val="007311AD"/>
    <w:rsid w:val="0073136C"/>
    <w:rsid w:val="00731F0F"/>
    <w:rsid w:val="007327EC"/>
    <w:rsid w:val="00732B25"/>
    <w:rsid w:val="00732EBC"/>
    <w:rsid w:val="00733250"/>
    <w:rsid w:val="00733ECD"/>
    <w:rsid w:val="007343DE"/>
    <w:rsid w:val="00735A8A"/>
    <w:rsid w:val="007369BA"/>
    <w:rsid w:val="007374FC"/>
    <w:rsid w:val="007376B9"/>
    <w:rsid w:val="00740068"/>
    <w:rsid w:val="00740769"/>
    <w:rsid w:val="00741404"/>
    <w:rsid w:val="007414B8"/>
    <w:rsid w:val="007414C6"/>
    <w:rsid w:val="00741F71"/>
    <w:rsid w:val="007421E1"/>
    <w:rsid w:val="00742629"/>
    <w:rsid w:val="00742B9E"/>
    <w:rsid w:val="007448A0"/>
    <w:rsid w:val="007449E5"/>
    <w:rsid w:val="00745E7C"/>
    <w:rsid w:val="007462A3"/>
    <w:rsid w:val="0074649A"/>
    <w:rsid w:val="00746C5A"/>
    <w:rsid w:val="00747A68"/>
    <w:rsid w:val="00747FF0"/>
    <w:rsid w:val="00750395"/>
    <w:rsid w:val="00750D36"/>
    <w:rsid w:val="007524B2"/>
    <w:rsid w:val="00754CEA"/>
    <w:rsid w:val="0075534C"/>
    <w:rsid w:val="00755409"/>
    <w:rsid w:val="00755646"/>
    <w:rsid w:val="0075610B"/>
    <w:rsid w:val="00756EC0"/>
    <w:rsid w:val="0076221B"/>
    <w:rsid w:val="007631B8"/>
    <w:rsid w:val="00763271"/>
    <w:rsid w:val="007637B9"/>
    <w:rsid w:val="00764693"/>
    <w:rsid w:val="00764D4E"/>
    <w:rsid w:val="00765A1F"/>
    <w:rsid w:val="00765B43"/>
    <w:rsid w:val="00766738"/>
    <w:rsid w:val="007679E9"/>
    <w:rsid w:val="00770E6A"/>
    <w:rsid w:val="0077114D"/>
    <w:rsid w:val="0077167C"/>
    <w:rsid w:val="00772578"/>
    <w:rsid w:val="00772857"/>
    <w:rsid w:val="007733CC"/>
    <w:rsid w:val="007735BC"/>
    <w:rsid w:val="007744EF"/>
    <w:rsid w:val="00775283"/>
    <w:rsid w:val="00775B6D"/>
    <w:rsid w:val="00776961"/>
    <w:rsid w:val="00776D68"/>
    <w:rsid w:val="007779AC"/>
    <w:rsid w:val="00780182"/>
    <w:rsid w:val="0078256F"/>
    <w:rsid w:val="007828D3"/>
    <w:rsid w:val="007850EE"/>
    <w:rsid w:val="00785B95"/>
    <w:rsid w:val="00785D5D"/>
    <w:rsid w:val="00787AF3"/>
    <w:rsid w:val="00787ED7"/>
    <w:rsid w:val="00790E96"/>
    <w:rsid w:val="00791CD8"/>
    <w:rsid w:val="007920B6"/>
    <w:rsid w:val="007923BE"/>
    <w:rsid w:val="00792CA9"/>
    <w:rsid w:val="00792D1A"/>
    <w:rsid w:val="0079300E"/>
    <w:rsid w:val="00793366"/>
    <w:rsid w:val="00794EC4"/>
    <w:rsid w:val="00796922"/>
    <w:rsid w:val="00796C8A"/>
    <w:rsid w:val="007A0A81"/>
    <w:rsid w:val="007A1489"/>
    <w:rsid w:val="007A14C6"/>
    <w:rsid w:val="007A197F"/>
    <w:rsid w:val="007A1F08"/>
    <w:rsid w:val="007A2A55"/>
    <w:rsid w:val="007A2C7B"/>
    <w:rsid w:val="007A2D28"/>
    <w:rsid w:val="007A3126"/>
    <w:rsid w:val="007A437A"/>
    <w:rsid w:val="007A4FC2"/>
    <w:rsid w:val="007A716F"/>
    <w:rsid w:val="007A7808"/>
    <w:rsid w:val="007B1EC1"/>
    <w:rsid w:val="007B270A"/>
    <w:rsid w:val="007B2FAF"/>
    <w:rsid w:val="007B3260"/>
    <w:rsid w:val="007B3557"/>
    <w:rsid w:val="007B4CB0"/>
    <w:rsid w:val="007B4D9F"/>
    <w:rsid w:val="007B56DB"/>
    <w:rsid w:val="007B57EF"/>
    <w:rsid w:val="007B67C0"/>
    <w:rsid w:val="007B69BC"/>
    <w:rsid w:val="007C0383"/>
    <w:rsid w:val="007C0695"/>
    <w:rsid w:val="007C0FD6"/>
    <w:rsid w:val="007C141E"/>
    <w:rsid w:val="007C23B0"/>
    <w:rsid w:val="007C2F0A"/>
    <w:rsid w:val="007C3F76"/>
    <w:rsid w:val="007C3FD9"/>
    <w:rsid w:val="007C419A"/>
    <w:rsid w:val="007C4CC8"/>
    <w:rsid w:val="007C51CB"/>
    <w:rsid w:val="007C5426"/>
    <w:rsid w:val="007C5798"/>
    <w:rsid w:val="007C5A7A"/>
    <w:rsid w:val="007D1623"/>
    <w:rsid w:val="007D4832"/>
    <w:rsid w:val="007D593D"/>
    <w:rsid w:val="007D63D6"/>
    <w:rsid w:val="007D6670"/>
    <w:rsid w:val="007D7B54"/>
    <w:rsid w:val="007D7D84"/>
    <w:rsid w:val="007E0BAA"/>
    <w:rsid w:val="007E1438"/>
    <w:rsid w:val="007E20F5"/>
    <w:rsid w:val="007E21B2"/>
    <w:rsid w:val="007E2C4E"/>
    <w:rsid w:val="007E3566"/>
    <w:rsid w:val="007E3CDD"/>
    <w:rsid w:val="007E57D9"/>
    <w:rsid w:val="007E6BF1"/>
    <w:rsid w:val="007E72E3"/>
    <w:rsid w:val="007E74CA"/>
    <w:rsid w:val="007F0523"/>
    <w:rsid w:val="007F1905"/>
    <w:rsid w:val="007F2139"/>
    <w:rsid w:val="007F28FF"/>
    <w:rsid w:val="007F3C4D"/>
    <w:rsid w:val="007F3CC8"/>
    <w:rsid w:val="007F5A02"/>
    <w:rsid w:val="007F67F7"/>
    <w:rsid w:val="007F681A"/>
    <w:rsid w:val="007F7308"/>
    <w:rsid w:val="0080048F"/>
    <w:rsid w:val="00800744"/>
    <w:rsid w:val="008007B1"/>
    <w:rsid w:val="00800C54"/>
    <w:rsid w:val="00800F39"/>
    <w:rsid w:val="008012A7"/>
    <w:rsid w:val="00801300"/>
    <w:rsid w:val="00802C3E"/>
    <w:rsid w:val="00802C64"/>
    <w:rsid w:val="0080367E"/>
    <w:rsid w:val="00803936"/>
    <w:rsid w:val="00803F55"/>
    <w:rsid w:val="00805E52"/>
    <w:rsid w:val="008061D0"/>
    <w:rsid w:val="00807AF2"/>
    <w:rsid w:val="00810B38"/>
    <w:rsid w:val="00810E79"/>
    <w:rsid w:val="00812824"/>
    <w:rsid w:val="00814085"/>
    <w:rsid w:val="0081442F"/>
    <w:rsid w:val="008148AC"/>
    <w:rsid w:val="00814FA2"/>
    <w:rsid w:val="008151EA"/>
    <w:rsid w:val="00815538"/>
    <w:rsid w:val="00816C74"/>
    <w:rsid w:val="00816D3D"/>
    <w:rsid w:val="00817C54"/>
    <w:rsid w:val="00820041"/>
    <w:rsid w:val="00820300"/>
    <w:rsid w:val="008204C7"/>
    <w:rsid w:val="00820992"/>
    <w:rsid w:val="00823602"/>
    <w:rsid w:val="00824E9C"/>
    <w:rsid w:val="00825275"/>
    <w:rsid w:val="008255F5"/>
    <w:rsid w:val="0083014E"/>
    <w:rsid w:val="008301CE"/>
    <w:rsid w:val="00830BAE"/>
    <w:rsid w:val="008310ED"/>
    <w:rsid w:val="0083135B"/>
    <w:rsid w:val="0083214A"/>
    <w:rsid w:val="00832E19"/>
    <w:rsid w:val="00833172"/>
    <w:rsid w:val="00833269"/>
    <w:rsid w:val="008341D1"/>
    <w:rsid w:val="00834220"/>
    <w:rsid w:val="00836556"/>
    <w:rsid w:val="00837F67"/>
    <w:rsid w:val="00840A3F"/>
    <w:rsid w:val="00842AF7"/>
    <w:rsid w:val="00845723"/>
    <w:rsid w:val="0085093C"/>
    <w:rsid w:val="008514C9"/>
    <w:rsid w:val="00851EF9"/>
    <w:rsid w:val="00854BEB"/>
    <w:rsid w:val="008554CB"/>
    <w:rsid w:val="008577FD"/>
    <w:rsid w:val="00860137"/>
    <w:rsid w:val="00860433"/>
    <w:rsid w:val="00860B03"/>
    <w:rsid w:val="00861979"/>
    <w:rsid w:val="0086270B"/>
    <w:rsid w:val="00862C6D"/>
    <w:rsid w:val="00862F2E"/>
    <w:rsid w:val="008637D8"/>
    <w:rsid w:val="00864604"/>
    <w:rsid w:val="0086497A"/>
    <w:rsid w:val="00866258"/>
    <w:rsid w:val="008673FD"/>
    <w:rsid w:val="008677AC"/>
    <w:rsid w:val="008710D1"/>
    <w:rsid w:val="00871108"/>
    <w:rsid w:val="008713A1"/>
    <w:rsid w:val="0087192D"/>
    <w:rsid w:val="00872D67"/>
    <w:rsid w:val="008733BC"/>
    <w:rsid w:val="008737A1"/>
    <w:rsid w:val="0087389D"/>
    <w:rsid w:val="008754AB"/>
    <w:rsid w:val="00876F7D"/>
    <w:rsid w:val="008802C8"/>
    <w:rsid w:val="00880306"/>
    <w:rsid w:val="0088060C"/>
    <w:rsid w:val="0088201D"/>
    <w:rsid w:val="008840CB"/>
    <w:rsid w:val="008857E5"/>
    <w:rsid w:val="008857E6"/>
    <w:rsid w:val="008907A1"/>
    <w:rsid w:val="00892507"/>
    <w:rsid w:val="00893576"/>
    <w:rsid w:val="00893E73"/>
    <w:rsid w:val="00896F55"/>
    <w:rsid w:val="008974D1"/>
    <w:rsid w:val="008A2F9B"/>
    <w:rsid w:val="008A43C4"/>
    <w:rsid w:val="008A6526"/>
    <w:rsid w:val="008B02DC"/>
    <w:rsid w:val="008B0437"/>
    <w:rsid w:val="008B1E05"/>
    <w:rsid w:val="008B2C45"/>
    <w:rsid w:val="008B2FB3"/>
    <w:rsid w:val="008B32AC"/>
    <w:rsid w:val="008B3C2D"/>
    <w:rsid w:val="008B57CE"/>
    <w:rsid w:val="008B659F"/>
    <w:rsid w:val="008B6711"/>
    <w:rsid w:val="008B7C5A"/>
    <w:rsid w:val="008C0831"/>
    <w:rsid w:val="008C1889"/>
    <w:rsid w:val="008C26DE"/>
    <w:rsid w:val="008C2C9A"/>
    <w:rsid w:val="008C331A"/>
    <w:rsid w:val="008C457B"/>
    <w:rsid w:val="008C579F"/>
    <w:rsid w:val="008C611A"/>
    <w:rsid w:val="008C6D87"/>
    <w:rsid w:val="008C7F4D"/>
    <w:rsid w:val="008D2225"/>
    <w:rsid w:val="008D2658"/>
    <w:rsid w:val="008D3619"/>
    <w:rsid w:val="008D3CFB"/>
    <w:rsid w:val="008D4752"/>
    <w:rsid w:val="008D5220"/>
    <w:rsid w:val="008D552A"/>
    <w:rsid w:val="008D58E5"/>
    <w:rsid w:val="008E1395"/>
    <w:rsid w:val="008E271C"/>
    <w:rsid w:val="008E2C18"/>
    <w:rsid w:val="008E3377"/>
    <w:rsid w:val="008E3C90"/>
    <w:rsid w:val="008E3CD5"/>
    <w:rsid w:val="008E418E"/>
    <w:rsid w:val="008E4601"/>
    <w:rsid w:val="008E4705"/>
    <w:rsid w:val="008E53C0"/>
    <w:rsid w:val="008E589D"/>
    <w:rsid w:val="008E5BC6"/>
    <w:rsid w:val="008E61EA"/>
    <w:rsid w:val="008E6432"/>
    <w:rsid w:val="008E6A25"/>
    <w:rsid w:val="008E6FAE"/>
    <w:rsid w:val="008E75AE"/>
    <w:rsid w:val="008F2C4D"/>
    <w:rsid w:val="008F45FC"/>
    <w:rsid w:val="008F5193"/>
    <w:rsid w:val="008F54A2"/>
    <w:rsid w:val="008F6B1E"/>
    <w:rsid w:val="008F7B77"/>
    <w:rsid w:val="00900F3D"/>
    <w:rsid w:val="009013A7"/>
    <w:rsid w:val="009017FB"/>
    <w:rsid w:val="009017FC"/>
    <w:rsid w:val="0090317D"/>
    <w:rsid w:val="0090356F"/>
    <w:rsid w:val="00903B43"/>
    <w:rsid w:val="00904C97"/>
    <w:rsid w:val="00904E4B"/>
    <w:rsid w:val="0090506B"/>
    <w:rsid w:val="009050C9"/>
    <w:rsid w:val="00906131"/>
    <w:rsid w:val="0090616B"/>
    <w:rsid w:val="009066FC"/>
    <w:rsid w:val="00910282"/>
    <w:rsid w:val="009121FA"/>
    <w:rsid w:val="00912A35"/>
    <w:rsid w:val="00912A4B"/>
    <w:rsid w:val="009140A3"/>
    <w:rsid w:val="00914174"/>
    <w:rsid w:val="009144A2"/>
    <w:rsid w:val="0091510C"/>
    <w:rsid w:val="00915A84"/>
    <w:rsid w:val="00915B10"/>
    <w:rsid w:val="00916B86"/>
    <w:rsid w:val="00920031"/>
    <w:rsid w:val="009205F0"/>
    <w:rsid w:val="0092268F"/>
    <w:rsid w:val="00922864"/>
    <w:rsid w:val="00924035"/>
    <w:rsid w:val="00924464"/>
    <w:rsid w:val="009246ED"/>
    <w:rsid w:val="009248B6"/>
    <w:rsid w:val="00924AA0"/>
    <w:rsid w:val="009254B0"/>
    <w:rsid w:val="009259AC"/>
    <w:rsid w:val="00925ADB"/>
    <w:rsid w:val="00926F38"/>
    <w:rsid w:val="00927F40"/>
    <w:rsid w:val="00931466"/>
    <w:rsid w:val="00932FDC"/>
    <w:rsid w:val="009334C9"/>
    <w:rsid w:val="00934170"/>
    <w:rsid w:val="00934243"/>
    <w:rsid w:val="00934301"/>
    <w:rsid w:val="009345CE"/>
    <w:rsid w:val="00934E1B"/>
    <w:rsid w:val="009361B9"/>
    <w:rsid w:val="0093625C"/>
    <w:rsid w:val="00936CD1"/>
    <w:rsid w:val="00936E1A"/>
    <w:rsid w:val="00937750"/>
    <w:rsid w:val="009377C2"/>
    <w:rsid w:val="0094097F"/>
    <w:rsid w:val="00941747"/>
    <w:rsid w:val="00941EFB"/>
    <w:rsid w:val="00943E66"/>
    <w:rsid w:val="009443D4"/>
    <w:rsid w:val="00944BE0"/>
    <w:rsid w:val="00944FBE"/>
    <w:rsid w:val="0094591B"/>
    <w:rsid w:val="009464D6"/>
    <w:rsid w:val="00947808"/>
    <w:rsid w:val="00947AFB"/>
    <w:rsid w:val="00947CD7"/>
    <w:rsid w:val="009507E2"/>
    <w:rsid w:val="00951D7D"/>
    <w:rsid w:val="00952528"/>
    <w:rsid w:val="009525A0"/>
    <w:rsid w:val="00952C12"/>
    <w:rsid w:val="009551EA"/>
    <w:rsid w:val="00955944"/>
    <w:rsid w:val="00956A14"/>
    <w:rsid w:val="00957DC9"/>
    <w:rsid w:val="0096141E"/>
    <w:rsid w:val="00961930"/>
    <w:rsid w:val="00961F0C"/>
    <w:rsid w:val="00962943"/>
    <w:rsid w:val="009630C7"/>
    <w:rsid w:val="009639B0"/>
    <w:rsid w:val="0096732E"/>
    <w:rsid w:val="00967FAA"/>
    <w:rsid w:val="00971560"/>
    <w:rsid w:val="00972098"/>
    <w:rsid w:val="00972B55"/>
    <w:rsid w:val="00973DD2"/>
    <w:rsid w:val="009743B7"/>
    <w:rsid w:val="009744C7"/>
    <w:rsid w:val="00975B3A"/>
    <w:rsid w:val="0097693B"/>
    <w:rsid w:val="00976E8B"/>
    <w:rsid w:val="00976F4F"/>
    <w:rsid w:val="00980C43"/>
    <w:rsid w:val="009813A5"/>
    <w:rsid w:val="00981661"/>
    <w:rsid w:val="0098188A"/>
    <w:rsid w:val="0098228B"/>
    <w:rsid w:val="009828DA"/>
    <w:rsid w:val="00982B41"/>
    <w:rsid w:val="00983509"/>
    <w:rsid w:val="00984292"/>
    <w:rsid w:val="0098437B"/>
    <w:rsid w:val="00984ABD"/>
    <w:rsid w:val="00985BAB"/>
    <w:rsid w:val="00986853"/>
    <w:rsid w:val="0098777E"/>
    <w:rsid w:val="00987D0E"/>
    <w:rsid w:val="00991150"/>
    <w:rsid w:val="00993C5D"/>
    <w:rsid w:val="00994EF7"/>
    <w:rsid w:val="009951FD"/>
    <w:rsid w:val="009959C1"/>
    <w:rsid w:val="00995A85"/>
    <w:rsid w:val="00995D2E"/>
    <w:rsid w:val="00996575"/>
    <w:rsid w:val="00997B2B"/>
    <w:rsid w:val="00997F03"/>
    <w:rsid w:val="009A059A"/>
    <w:rsid w:val="009A1B3E"/>
    <w:rsid w:val="009A26D4"/>
    <w:rsid w:val="009A3866"/>
    <w:rsid w:val="009A3A08"/>
    <w:rsid w:val="009A415D"/>
    <w:rsid w:val="009A46DF"/>
    <w:rsid w:val="009A5300"/>
    <w:rsid w:val="009A56BD"/>
    <w:rsid w:val="009A5841"/>
    <w:rsid w:val="009A615B"/>
    <w:rsid w:val="009A622A"/>
    <w:rsid w:val="009A7335"/>
    <w:rsid w:val="009B0BE6"/>
    <w:rsid w:val="009B1254"/>
    <w:rsid w:val="009B1B5F"/>
    <w:rsid w:val="009B222C"/>
    <w:rsid w:val="009B2EC2"/>
    <w:rsid w:val="009B318E"/>
    <w:rsid w:val="009B339F"/>
    <w:rsid w:val="009B3EEB"/>
    <w:rsid w:val="009B4215"/>
    <w:rsid w:val="009B4B20"/>
    <w:rsid w:val="009B549F"/>
    <w:rsid w:val="009B55B2"/>
    <w:rsid w:val="009B55FA"/>
    <w:rsid w:val="009B6673"/>
    <w:rsid w:val="009B7013"/>
    <w:rsid w:val="009B7BD8"/>
    <w:rsid w:val="009C191B"/>
    <w:rsid w:val="009C2BD6"/>
    <w:rsid w:val="009C3023"/>
    <w:rsid w:val="009C3751"/>
    <w:rsid w:val="009C3CC0"/>
    <w:rsid w:val="009C3D2B"/>
    <w:rsid w:val="009C3D72"/>
    <w:rsid w:val="009C439A"/>
    <w:rsid w:val="009C4895"/>
    <w:rsid w:val="009C597C"/>
    <w:rsid w:val="009C59A7"/>
    <w:rsid w:val="009C6085"/>
    <w:rsid w:val="009C6E9B"/>
    <w:rsid w:val="009C706B"/>
    <w:rsid w:val="009C77B2"/>
    <w:rsid w:val="009D06D7"/>
    <w:rsid w:val="009D1D2E"/>
    <w:rsid w:val="009D1E8B"/>
    <w:rsid w:val="009D20D7"/>
    <w:rsid w:val="009D2541"/>
    <w:rsid w:val="009D2815"/>
    <w:rsid w:val="009D2F16"/>
    <w:rsid w:val="009D31F2"/>
    <w:rsid w:val="009D3396"/>
    <w:rsid w:val="009D4A8D"/>
    <w:rsid w:val="009D53A0"/>
    <w:rsid w:val="009D67C9"/>
    <w:rsid w:val="009D6FB7"/>
    <w:rsid w:val="009D78C5"/>
    <w:rsid w:val="009D78C8"/>
    <w:rsid w:val="009E11FA"/>
    <w:rsid w:val="009E1B83"/>
    <w:rsid w:val="009E1F32"/>
    <w:rsid w:val="009E3010"/>
    <w:rsid w:val="009E30D3"/>
    <w:rsid w:val="009E336D"/>
    <w:rsid w:val="009E5829"/>
    <w:rsid w:val="009E6B94"/>
    <w:rsid w:val="009E776C"/>
    <w:rsid w:val="009E7C75"/>
    <w:rsid w:val="009E7C88"/>
    <w:rsid w:val="009F01DE"/>
    <w:rsid w:val="009F2C04"/>
    <w:rsid w:val="009F3ED1"/>
    <w:rsid w:val="009F6C86"/>
    <w:rsid w:val="009F7F9B"/>
    <w:rsid w:val="00A00D6C"/>
    <w:rsid w:val="00A00F8E"/>
    <w:rsid w:val="00A04089"/>
    <w:rsid w:val="00A04DDF"/>
    <w:rsid w:val="00A04F56"/>
    <w:rsid w:val="00A05375"/>
    <w:rsid w:val="00A058DE"/>
    <w:rsid w:val="00A06D61"/>
    <w:rsid w:val="00A13490"/>
    <w:rsid w:val="00A135E1"/>
    <w:rsid w:val="00A13C79"/>
    <w:rsid w:val="00A152B3"/>
    <w:rsid w:val="00A163CE"/>
    <w:rsid w:val="00A16A09"/>
    <w:rsid w:val="00A16A27"/>
    <w:rsid w:val="00A1726E"/>
    <w:rsid w:val="00A17EB8"/>
    <w:rsid w:val="00A204CF"/>
    <w:rsid w:val="00A20779"/>
    <w:rsid w:val="00A21143"/>
    <w:rsid w:val="00A2115F"/>
    <w:rsid w:val="00A223AB"/>
    <w:rsid w:val="00A2243B"/>
    <w:rsid w:val="00A23D49"/>
    <w:rsid w:val="00A24E43"/>
    <w:rsid w:val="00A25C1F"/>
    <w:rsid w:val="00A25FC2"/>
    <w:rsid w:val="00A27004"/>
    <w:rsid w:val="00A30C29"/>
    <w:rsid w:val="00A30F0B"/>
    <w:rsid w:val="00A33443"/>
    <w:rsid w:val="00A3352F"/>
    <w:rsid w:val="00A33AFA"/>
    <w:rsid w:val="00A34902"/>
    <w:rsid w:val="00A34DD6"/>
    <w:rsid w:val="00A34EA1"/>
    <w:rsid w:val="00A35C16"/>
    <w:rsid w:val="00A365E6"/>
    <w:rsid w:val="00A36819"/>
    <w:rsid w:val="00A36989"/>
    <w:rsid w:val="00A36A7A"/>
    <w:rsid w:val="00A4080A"/>
    <w:rsid w:val="00A415E2"/>
    <w:rsid w:val="00A41A1D"/>
    <w:rsid w:val="00A420A1"/>
    <w:rsid w:val="00A43628"/>
    <w:rsid w:val="00A440D2"/>
    <w:rsid w:val="00A4584A"/>
    <w:rsid w:val="00A45EF0"/>
    <w:rsid w:val="00A46509"/>
    <w:rsid w:val="00A46F0D"/>
    <w:rsid w:val="00A476AE"/>
    <w:rsid w:val="00A47B0F"/>
    <w:rsid w:val="00A47F5F"/>
    <w:rsid w:val="00A5272F"/>
    <w:rsid w:val="00A52A07"/>
    <w:rsid w:val="00A52F96"/>
    <w:rsid w:val="00A534E9"/>
    <w:rsid w:val="00A53664"/>
    <w:rsid w:val="00A54192"/>
    <w:rsid w:val="00A557CA"/>
    <w:rsid w:val="00A56210"/>
    <w:rsid w:val="00A5623E"/>
    <w:rsid w:val="00A563D9"/>
    <w:rsid w:val="00A57E92"/>
    <w:rsid w:val="00A6035E"/>
    <w:rsid w:val="00A607D3"/>
    <w:rsid w:val="00A6144C"/>
    <w:rsid w:val="00A61F21"/>
    <w:rsid w:val="00A61F58"/>
    <w:rsid w:val="00A62A9B"/>
    <w:rsid w:val="00A62B13"/>
    <w:rsid w:val="00A6530A"/>
    <w:rsid w:val="00A655C8"/>
    <w:rsid w:val="00A665D4"/>
    <w:rsid w:val="00A66617"/>
    <w:rsid w:val="00A66973"/>
    <w:rsid w:val="00A671F8"/>
    <w:rsid w:val="00A672FA"/>
    <w:rsid w:val="00A673A4"/>
    <w:rsid w:val="00A715DA"/>
    <w:rsid w:val="00A71A98"/>
    <w:rsid w:val="00A71C41"/>
    <w:rsid w:val="00A724AE"/>
    <w:rsid w:val="00A726B3"/>
    <w:rsid w:val="00A73329"/>
    <w:rsid w:val="00A73593"/>
    <w:rsid w:val="00A73907"/>
    <w:rsid w:val="00A74B7A"/>
    <w:rsid w:val="00A74DD1"/>
    <w:rsid w:val="00A75C1C"/>
    <w:rsid w:val="00A75E7E"/>
    <w:rsid w:val="00A7650F"/>
    <w:rsid w:val="00A76534"/>
    <w:rsid w:val="00A77EFF"/>
    <w:rsid w:val="00A80B3B"/>
    <w:rsid w:val="00A810B7"/>
    <w:rsid w:val="00A82359"/>
    <w:rsid w:val="00A8270F"/>
    <w:rsid w:val="00A83684"/>
    <w:rsid w:val="00A842FF"/>
    <w:rsid w:val="00A8490B"/>
    <w:rsid w:val="00A849C0"/>
    <w:rsid w:val="00A8514F"/>
    <w:rsid w:val="00A856EE"/>
    <w:rsid w:val="00A85F6C"/>
    <w:rsid w:val="00A863FB"/>
    <w:rsid w:val="00A865D2"/>
    <w:rsid w:val="00A875FB"/>
    <w:rsid w:val="00A91044"/>
    <w:rsid w:val="00A9214D"/>
    <w:rsid w:val="00A927ED"/>
    <w:rsid w:val="00A93D59"/>
    <w:rsid w:val="00A94C20"/>
    <w:rsid w:val="00A96A15"/>
    <w:rsid w:val="00A96ED6"/>
    <w:rsid w:val="00A97EFC"/>
    <w:rsid w:val="00AA0321"/>
    <w:rsid w:val="00AA0C43"/>
    <w:rsid w:val="00AA1FCE"/>
    <w:rsid w:val="00AA2206"/>
    <w:rsid w:val="00AA227F"/>
    <w:rsid w:val="00AA3BC7"/>
    <w:rsid w:val="00AA3E97"/>
    <w:rsid w:val="00AA4032"/>
    <w:rsid w:val="00AA5A0C"/>
    <w:rsid w:val="00AA5E2A"/>
    <w:rsid w:val="00AA5F55"/>
    <w:rsid w:val="00AA6B83"/>
    <w:rsid w:val="00AA754A"/>
    <w:rsid w:val="00AA78DE"/>
    <w:rsid w:val="00AA7E74"/>
    <w:rsid w:val="00AB05A8"/>
    <w:rsid w:val="00AB0964"/>
    <w:rsid w:val="00AB099E"/>
    <w:rsid w:val="00AB155D"/>
    <w:rsid w:val="00AB1B3B"/>
    <w:rsid w:val="00AB1E25"/>
    <w:rsid w:val="00AB215F"/>
    <w:rsid w:val="00AB2D22"/>
    <w:rsid w:val="00AB30A9"/>
    <w:rsid w:val="00AB31E6"/>
    <w:rsid w:val="00AB3ECD"/>
    <w:rsid w:val="00AB4226"/>
    <w:rsid w:val="00AB4328"/>
    <w:rsid w:val="00AB483C"/>
    <w:rsid w:val="00AB4F26"/>
    <w:rsid w:val="00AB57F9"/>
    <w:rsid w:val="00AB5B13"/>
    <w:rsid w:val="00AB5FA0"/>
    <w:rsid w:val="00AB65E0"/>
    <w:rsid w:val="00AB6CBE"/>
    <w:rsid w:val="00AB7249"/>
    <w:rsid w:val="00AB7341"/>
    <w:rsid w:val="00AB7436"/>
    <w:rsid w:val="00AC07D1"/>
    <w:rsid w:val="00AC0EBF"/>
    <w:rsid w:val="00AC3138"/>
    <w:rsid w:val="00AC3347"/>
    <w:rsid w:val="00AC4601"/>
    <w:rsid w:val="00AC49C5"/>
    <w:rsid w:val="00AC4E22"/>
    <w:rsid w:val="00AC57B3"/>
    <w:rsid w:val="00AC6155"/>
    <w:rsid w:val="00AD0AAC"/>
    <w:rsid w:val="00AD1125"/>
    <w:rsid w:val="00AD278D"/>
    <w:rsid w:val="00AD348B"/>
    <w:rsid w:val="00AD417F"/>
    <w:rsid w:val="00AD5257"/>
    <w:rsid w:val="00AD665A"/>
    <w:rsid w:val="00AD6D1C"/>
    <w:rsid w:val="00AD73FD"/>
    <w:rsid w:val="00AE09CA"/>
    <w:rsid w:val="00AE0A2E"/>
    <w:rsid w:val="00AE1BE6"/>
    <w:rsid w:val="00AE354C"/>
    <w:rsid w:val="00AE5F3B"/>
    <w:rsid w:val="00AE6045"/>
    <w:rsid w:val="00AF0D59"/>
    <w:rsid w:val="00AF0F7E"/>
    <w:rsid w:val="00AF2E11"/>
    <w:rsid w:val="00AF4B07"/>
    <w:rsid w:val="00AF4C04"/>
    <w:rsid w:val="00AF4E82"/>
    <w:rsid w:val="00AF5F7B"/>
    <w:rsid w:val="00AF6186"/>
    <w:rsid w:val="00AF6C6B"/>
    <w:rsid w:val="00AF7A3A"/>
    <w:rsid w:val="00B0105D"/>
    <w:rsid w:val="00B02417"/>
    <w:rsid w:val="00B035CD"/>
    <w:rsid w:val="00B0579D"/>
    <w:rsid w:val="00B05B43"/>
    <w:rsid w:val="00B10947"/>
    <w:rsid w:val="00B11E8F"/>
    <w:rsid w:val="00B12356"/>
    <w:rsid w:val="00B124C6"/>
    <w:rsid w:val="00B12CDC"/>
    <w:rsid w:val="00B13494"/>
    <w:rsid w:val="00B138EA"/>
    <w:rsid w:val="00B141A1"/>
    <w:rsid w:val="00B142ED"/>
    <w:rsid w:val="00B150A1"/>
    <w:rsid w:val="00B157C4"/>
    <w:rsid w:val="00B160DB"/>
    <w:rsid w:val="00B16BA8"/>
    <w:rsid w:val="00B16FD3"/>
    <w:rsid w:val="00B175FC"/>
    <w:rsid w:val="00B20510"/>
    <w:rsid w:val="00B20836"/>
    <w:rsid w:val="00B2166E"/>
    <w:rsid w:val="00B231EE"/>
    <w:rsid w:val="00B234CB"/>
    <w:rsid w:val="00B235BB"/>
    <w:rsid w:val="00B2362D"/>
    <w:rsid w:val="00B236D9"/>
    <w:rsid w:val="00B245B0"/>
    <w:rsid w:val="00B24980"/>
    <w:rsid w:val="00B25532"/>
    <w:rsid w:val="00B255D4"/>
    <w:rsid w:val="00B25ECB"/>
    <w:rsid w:val="00B26A3D"/>
    <w:rsid w:val="00B26CC0"/>
    <w:rsid w:val="00B27A44"/>
    <w:rsid w:val="00B3012A"/>
    <w:rsid w:val="00B30241"/>
    <w:rsid w:val="00B30BBF"/>
    <w:rsid w:val="00B31885"/>
    <w:rsid w:val="00B32C9C"/>
    <w:rsid w:val="00B334AF"/>
    <w:rsid w:val="00B33590"/>
    <w:rsid w:val="00B33C03"/>
    <w:rsid w:val="00B33CE5"/>
    <w:rsid w:val="00B35036"/>
    <w:rsid w:val="00B357DD"/>
    <w:rsid w:val="00B3704A"/>
    <w:rsid w:val="00B3718E"/>
    <w:rsid w:val="00B379E2"/>
    <w:rsid w:val="00B379ED"/>
    <w:rsid w:val="00B37E2F"/>
    <w:rsid w:val="00B40D7A"/>
    <w:rsid w:val="00B4214D"/>
    <w:rsid w:val="00B42CE1"/>
    <w:rsid w:val="00B44E56"/>
    <w:rsid w:val="00B45405"/>
    <w:rsid w:val="00B4557E"/>
    <w:rsid w:val="00B46543"/>
    <w:rsid w:val="00B46691"/>
    <w:rsid w:val="00B4681A"/>
    <w:rsid w:val="00B47D33"/>
    <w:rsid w:val="00B503C0"/>
    <w:rsid w:val="00B52BE0"/>
    <w:rsid w:val="00B53F62"/>
    <w:rsid w:val="00B54133"/>
    <w:rsid w:val="00B5642F"/>
    <w:rsid w:val="00B577F9"/>
    <w:rsid w:val="00B605C2"/>
    <w:rsid w:val="00B612C3"/>
    <w:rsid w:val="00B62CE3"/>
    <w:rsid w:val="00B6320B"/>
    <w:rsid w:val="00B637B9"/>
    <w:rsid w:val="00B648A4"/>
    <w:rsid w:val="00B64C1D"/>
    <w:rsid w:val="00B64C6F"/>
    <w:rsid w:val="00B651A4"/>
    <w:rsid w:val="00B651C9"/>
    <w:rsid w:val="00B65393"/>
    <w:rsid w:val="00B65607"/>
    <w:rsid w:val="00B6599F"/>
    <w:rsid w:val="00B6707F"/>
    <w:rsid w:val="00B67BDB"/>
    <w:rsid w:val="00B701ED"/>
    <w:rsid w:val="00B70566"/>
    <w:rsid w:val="00B705BC"/>
    <w:rsid w:val="00B71351"/>
    <w:rsid w:val="00B71C41"/>
    <w:rsid w:val="00B73176"/>
    <w:rsid w:val="00B74A9F"/>
    <w:rsid w:val="00B74AB8"/>
    <w:rsid w:val="00B74E25"/>
    <w:rsid w:val="00B80229"/>
    <w:rsid w:val="00B8086C"/>
    <w:rsid w:val="00B812B8"/>
    <w:rsid w:val="00B817CE"/>
    <w:rsid w:val="00B81C2C"/>
    <w:rsid w:val="00B82CDC"/>
    <w:rsid w:val="00B8323D"/>
    <w:rsid w:val="00B838C3"/>
    <w:rsid w:val="00B83B76"/>
    <w:rsid w:val="00B84279"/>
    <w:rsid w:val="00B84335"/>
    <w:rsid w:val="00B856EC"/>
    <w:rsid w:val="00B861B4"/>
    <w:rsid w:val="00B86DFE"/>
    <w:rsid w:val="00B86F47"/>
    <w:rsid w:val="00B87287"/>
    <w:rsid w:val="00B87BE6"/>
    <w:rsid w:val="00B90990"/>
    <w:rsid w:val="00B922FF"/>
    <w:rsid w:val="00B92611"/>
    <w:rsid w:val="00B9281E"/>
    <w:rsid w:val="00B929EB"/>
    <w:rsid w:val="00B93925"/>
    <w:rsid w:val="00B9472D"/>
    <w:rsid w:val="00B948B8"/>
    <w:rsid w:val="00B95187"/>
    <w:rsid w:val="00B95849"/>
    <w:rsid w:val="00B960B9"/>
    <w:rsid w:val="00B96F56"/>
    <w:rsid w:val="00B97D24"/>
    <w:rsid w:val="00BA0493"/>
    <w:rsid w:val="00BA0B8E"/>
    <w:rsid w:val="00BA145E"/>
    <w:rsid w:val="00BA18FA"/>
    <w:rsid w:val="00BA1A75"/>
    <w:rsid w:val="00BA2D55"/>
    <w:rsid w:val="00BA314D"/>
    <w:rsid w:val="00BA4BA7"/>
    <w:rsid w:val="00BA50C1"/>
    <w:rsid w:val="00BA5262"/>
    <w:rsid w:val="00BA5BB7"/>
    <w:rsid w:val="00BA71B1"/>
    <w:rsid w:val="00BA7232"/>
    <w:rsid w:val="00BA72F3"/>
    <w:rsid w:val="00BA73DA"/>
    <w:rsid w:val="00BA7DEF"/>
    <w:rsid w:val="00BB0637"/>
    <w:rsid w:val="00BB08F7"/>
    <w:rsid w:val="00BB1A7C"/>
    <w:rsid w:val="00BB21C7"/>
    <w:rsid w:val="00BB2C5B"/>
    <w:rsid w:val="00BB30AF"/>
    <w:rsid w:val="00BB345F"/>
    <w:rsid w:val="00BB3C8A"/>
    <w:rsid w:val="00BB4774"/>
    <w:rsid w:val="00BB4FCF"/>
    <w:rsid w:val="00BB527B"/>
    <w:rsid w:val="00BB5883"/>
    <w:rsid w:val="00BB6633"/>
    <w:rsid w:val="00BB68EA"/>
    <w:rsid w:val="00BC1C27"/>
    <w:rsid w:val="00BC1D54"/>
    <w:rsid w:val="00BC213A"/>
    <w:rsid w:val="00BC21F9"/>
    <w:rsid w:val="00BC24C5"/>
    <w:rsid w:val="00BC3B7C"/>
    <w:rsid w:val="00BC6577"/>
    <w:rsid w:val="00BC6ACE"/>
    <w:rsid w:val="00BC6BBF"/>
    <w:rsid w:val="00BC6E83"/>
    <w:rsid w:val="00BC7424"/>
    <w:rsid w:val="00BC777A"/>
    <w:rsid w:val="00BD1572"/>
    <w:rsid w:val="00BD15B8"/>
    <w:rsid w:val="00BD2879"/>
    <w:rsid w:val="00BD2A1B"/>
    <w:rsid w:val="00BD3D72"/>
    <w:rsid w:val="00BD3EEF"/>
    <w:rsid w:val="00BD444C"/>
    <w:rsid w:val="00BD492B"/>
    <w:rsid w:val="00BD68BD"/>
    <w:rsid w:val="00BE05EA"/>
    <w:rsid w:val="00BE14E3"/>
    <w:rsid w:val="00BE17A9"/>
    <w:rsid w:val="00BE20DA"/>
    <w:rsid w:val="00BE21B6"/>
    <w:rsid w:val="00BE2500"/>
    <w:rsid w:val="00BE2B2D"/>
    <w:rsid w:val="00BE2D36"/>
    <w:rsid w:val="00BE3414"/>
    <w:rsid w:val="00BE3774"/>
    <w:rsid w:val="00BE3D1C"/>
    <w:rsid w:val="00BE3D37"/>
    <w:rsid w:val="00BE41E5"/>
    <w:rsid w:val="00BE624D"/>
    <w:rsid w:val="00BF0205"/>
    <w:rsid w:val="00BF0BBB"/>
    <w:rsid w:val="00BF17C4"/>
    <w:rsid w:val="00BF3732"/>
    <w:rsid w:val="00BF4109"/>
    <w:rsid w:val="00BF4CC3"/>
    <w:rsid w:val="00BF5240"/>
    <w:rsid w:val="00BF5285"/>
    <w:rsid w:val="00BF7816"/>
    <w:rsid w:val="00C00022"/>
    <w:rsid w:val="00C00599"/>
    <w:rsid w:val="00C00746"/>
    <w:rsid w:val="00C00F12"/>
    <w:rsid w:val="00C01022"/>
    <w:rsid w:val="00C026EC"/>
    <w:rsid w:val="00C032B9"/>
    <w:rsid w:val="00C03360"/>
    <w:rsid w:val="00C03716"/>
    <w:rsid w:val="00C04983"/>
    <w:rsid w:val="00C054C7"/>
    <w:rsid w:val="00C057B5"/>
    <w:rsid w:val="00C063F8"/>
    <w:rsid w:val="00C074BC"/>
    <w:rsid w:val="00C115F3"/>
    <w:rsid w:val="00C11639"/>
    <w:rsid w:val="00C11ACF"/>
    <w:rsid w:val="00C12010"/>
    <w:rsid w:val="00C127B9"/>
    <w:rsid w:val="00C143D0"/>
    <w:rsid w:val="00C1440B"/>
    <w:rsid w:val="00C14909"/>
    <w:rsid w:val="00C14F74"/>
    <w:rsid w:val="00C15203"/>
    <w:rsid w:val="00C16366"/>
    <w:rsid w:val="00C17DA3"/>
    <w:rsid w:val="00C2118F"/>
    <w:rsid w:val="00C211F1"/>
    <w:rsid w:val="00C2225E"/>
    <w:rsid w:val="00C22687"/>
    <w:rsid w:val="00C22A02"/>
    <w:rsid w:val="00C2642F"/>
    <w:rsid w:val="00C26518"/>
    <w:rsid w:val="00C26AFE"/>
    <w:rsid w:val="00C3076B"/>
    <w:rsid w:val="00C31D00"/>
    <w:rsid w:val="00C31E8D"/>
    <w:rsid w:val="00C32E4D"/>
    <w:rsid w:val="00C333A0"/>
    <w:rsid w:val="00C33461"/>
    <w:rsid w:val="00C36A81"/>
    <w:rsid w:val="00C403D1"/>
    <w:rsid w:val="00C40535"/>
    <w:rsid w:val="00C406CA"/>
    <w:rsid w:val="00C410DE"/>
    <w:rsid w:val="00C418D5"/>
    <w:rsid w:val="00C41974"/>
    <w:rsid w:val="00C42974"/>
    <w:rsid w:val="00C42C83"/>
    <w:rsid w:val="00C4306E"/>
    <w:rsid w:val="00C431BB"/>
    <w:rsid w:val="00C433C1"/>
    <w:rsid w:val="00C43553"/>
    <w:rsid w:val="00C438D6"/>
    <w:rsid w:val="00C447AD"/>
    <w:rsid w:val="00C44C16"/>
    <w:rsid w:val="00C45D35"/>
    <w:rsid w:val="00C461AC"/>
    <w:rsid w:val="00C46527"/>
    <w:rsid w:val="00C4663C"/>
    <w:rsid w:val="00C53D59"/>
    <w:rsid w:val="00C53F4A"/>
    <w:rsid w:val="00C54125"/>
    <w:rsid w:val="00C541E4"/>
    <w:rsid w:val="00C556A7"/>
    <w:rsid w:val="00C557EB"/>
    <w:rsid w:val="00C55B54"/>
    <w:rsid w:val="00C55C74"/>
    <w:rsid w:val="00C56BB0"/>
    <w:rsid w:val="00C56FC7"/>
    <w:rsid w:val="00C57D5C"/>
    <w:rsid w:val="00C6098E"/>
    <w:rsid w:val="00C6104E"/>
    <w:rsid w:val="00C6152C"/>
    <w:rsid w:val="00C61714"/>
    <w:rsid w:val="00C61A7A"/>
    <w:rsid w:val="00C621C2"/>
    <w:rsid w:val="00C62770"/>
    <w:rsid w:val="00C629F3"/>
    <w:rsid w:val="00C64901"/>
    <w:rsid w:val="00C6493B"/>
    <w:rsid w:val="00C64C0B"/>
    <w:rsid w:val="00C64E9C"/>
    <w:rsid w:val="00C6550D"/>
    <w:rsid w:val="00C65DAF"/>
    <w:rsid w:val="00C65F71"/>
    <w:rsid w:val="00C661FB"/>
    <w:rsid w:val="00C66227"/>
    <w:rsid w:val="00C66FD2"/>
    <w:rsid w:val="00C7003E"/>
    <w:rsid w:val="00C711AC"/>
    <w:rsid w:val="00C71505"/>
    <w:rsid w:val="00C7250A"/>
    <w:rsid w:val="00C73463"/>
    <w:rsid w:val="00C74810"/>
    <w:rsid w:val="00C74A81"/>
    <w:rsid w:val="00C7545F"/>
    <w:rsid w:val="00C76500"/>
    <w:rsid w:val="00C76925"/>
    <w:rsid w:val="00C76B41"/>
    <w:rsid w:val="00C80904"/>
    <w:rsid w:val="00C80B81"/>
    <w:rsid w:val="00C81A97"/>
    <w:rsid w:val="00C828F6"/>
    <w:rsid w:val="00C839F8"/>
    <w:rsid w:val="00C83CA6"/>
    <w:rsid w:val="00C87820"/>
    <w:rsid w:val="00C90D35"/>
    <w:rsid w:val="00C90D68"/>
    <w:rsid w:val="00C93492"/>
    <w:rsid w:val="00C939FE"/>
    <w:rsid w:val="00C94C17"/>
    <w:rsid w:val="00C94FBD"/>
    <w:rsid w:val="00C95A33"/>
    <w:rsid w:val="00C96D10"/>
    <w:rsid w:val="00C97B92"/>
    <w:rsid w:val="00CA2A9C"/>
    <w:rsid w:val="00CA3D36"/>
    <w:rsid w:val="00CA4BDA"/>
    <w:rsid w:val="00CB1BF2"/>
    <w:rsid w:val="00CB1E38"/>
    <w:rsid w:val="00CB1F66"/>
    <w:rsid w:val="00CB2951"/>
    <w:rsid w:val="00CB3AC0"/>
    <w:rsid w:val="00CB3EA7"/>
    <w:rsid w:val="00CB48F7"/>
    <w:rsid w:val="00CB52DE"/>
    <w:rsid w:val="00CB5CD6"/>
    <w:rsid w:val="00CB66BF"/>
    <w:rsid w:val="00CC08D9"/>
    <w:rsid w:val="00CC1D53"/>
    <w:rsid w:val="00CC4D51"/>
    <w:rsid w:val="00CC6A5B"/>
    <w:rsid w:val="00CC74F3"/>
    <w:rsid w:val="00CC7528"/>
    <w:rsid w:val="00CD08D7"/>
    <w:rsid w:val="00CD0C1B"/>
    <w:rsid w:val="00CD282B"/>
    <w:rsid w:val="00CD2CFF"/>
    <w:rsid w:val="00CD3F26"/>
    <w:rsid w:val="00CD4C35"/>
    <w:rsid w:val="00CD59C6"/>
    <w:rsid w:val="00CD70DD"/>
    <w:rsid w:val="00CD7369"/>
    <w:rsid w:val="00CD7E37"/>
    <w:rsid w:val="00CE0411"/>
    <w:rsid w:val="00CE0B0E"/>
    <w:rsid w:val="00CE0C5F"/>
    <w:rsid w:val="00CE1548"/>
    <w:rsid w:val="00CE18D5"/>
    <w:rsid w:val="00CE2386"/>
    <w:rsid w:val="00CE349A"/>
    <w:rsid w:val="00CE3546"/>
    <w:rsid w:val="00CE3831"/>
    <w:rsid w:val="00CE422E"/>
    <w:rsid w:val="00CE47D1"/>
    <w:rsid w:val="00CE4AC3"/>
    <w:rsid w:val="00CE6986"/>
    <w:rsid w:val="00CE7042"/>
    <w:rsid w:val="00CE796B"/>
    <w:rsid w:val="00CF24A4"/>
    <w:rsid w:val="00CF2711"/>
    <w:rsid w:val="00CF2F46"/>
    <w:rsid w:val="00CF3E10"/>
    <w:rsid w:val="00CF5849"/>
    <w:rsid w:val="00CF66BA"/>
    <w:rsid w:val="00D00ABB"/>
    <w:rsid w:val="00D00F74"/>
    <w:rsid w:val="00D0287E"/>
    <w:rsid w:val="00D02EEC"/>
    <w:rsid w:val="00D03551"/>
    <w:rsid w:val="00D043F4"/>
    <w:rsid w:val="00D050BA"/>
    <w:rsid w:val="00D0587E"/>
    <w:rsid w:val="00D05D82"/>
    <w:rsid w:val="00D067F7"/>
    <w:rsid w:val="00D06822"/>
    <w:rsid w:val="00D06A63"/>
    <w:rsid w:val="00D075E2"/>
    <w:rsid w:val="00D07E0E"/>
    <w:rsid w:val="00D10360"/>
    <w:rsid w:val="00D11478"/>
    <w:rsid w:val="00D11CF2"/>
    <w:rsid w:val="00D120C9"/>
    <w:rsid w:val="00D13726"/>
    <w:rsid w:val="00D151CD"/>
    <w:rsid w:val="00D15ED0"/>
    <w:rsid w:val="00D17A43"/>
    <w:rsid w:val="00D17B56"/>
    <w:rsid w:val="00D20A88"/>
    <w:rsid w:val="00D217CC"/>
    <w:rsid w:val="00D21B3E"/>
    <w:rsid w:val="00D21ECA"/>
    <w:rsid w:val="00D21FED"/>
    <w:rsid w:val="00D234C9"/>
    <w:rsid w:val="00D24251"/>
    <w:rsid w:val="00D25FA7"/>
    <w:rsid w:val="00D272C6"/>
    <w:rsid w:val="00D31612"/>
    <w:rsid w:val="00D328A4"/>
    <w:rsid w:val="00D329BB"/>
    <w:rsid w:val="00D33912"/>
    <w:rsid w:val="00D343E2"/>
    <w:rsid w:val="00D34E17"/>
    <w:rsid w:val="00D35BD1"/>
    <w:rsid w:val="00D361A2"/>
    <w:rsid w:val="00D36752"/>
    <w:rsid w:val="00D36F13"/>
    <w:rsid w:val="00D37C98"/>
    <w:rsid w:val="00D409E0"/>
    <w:rsid w:val="00D40E47"/>
    <w:rsid w:val="00D42442"/>
    <w:rsid w:val="00D435D4"/>
    <w:rsid w:val="00D43DF8"/>
    <w:rsid w:val="00D44C2E"/>
    <w:rsid w:val="00D45414"/>
    <w:rsid w:val="00D4560D"/>
    <w:rsid w:val="00D4653D"/>
    <w:rsid w:val="00D466B4"/>
    <w:rsid w:val="00D467FE"/>
    <w:rsid w:val="00D4788F"/>
    <w:rsid w:val="00D50830"/>
    <w:rsid w:val="00D509C5"/>
    <w:rsid w:val="00D53C0F"/>
    <w:rsid w:val="00D5592E"/>
    <w:rsid w:val="00D55B31"/>
    <w:rsid w:val="00D56083"/>
    <w:rsid w:val="00D566BD"/>
    <w:rsid w:val="00D57A4D"/>
    <w:rsid w:val="00D60AA7"/>
    <w:rsid w:val="00D60C3A"/>
    <w:rsid w:val="00D60D87"/>
    <w:rsid w:val="00D61170"/>
    <w:rsid w:val="00D611BC"/>
    <w:rsid w:val="00D64085"/>
    <w:rsid w:val="00D6435F"/>
    <w:rsid w:val="00D64F6D"/>
    <w:rsid w:val="00D651A9"/>
    <w:rsid w:val="00D659D9"/>
    <w:rsid w:val="00D66004"/>
    <w:rsid w:val="00D66076"/>
    <w:rsid w:val="00D663E2"/>
    <w:rsid w:val="00D6721A"/>
    <w:rsid w:val="00D67788"/>
    <w:rsid w:val="00D67AFB"/>
    <w:rsid w:val="00D70BB4"/>
    <w:rsid w:val="00D71253"/>
    <w:rsid w:val="00D71870"/>
    <w:rsid w:val="00D72ECD"/>
    <w:rsid w:val="00D73497"/>
    <w:rsid w:val="00D74AE1"/>
    <w:rsid w:val="00D7545E"/>
    <w:rsid w:val="00D75E28"/>
    <w:rsid w:val="00D772C2"/>
    <w:rsid w:val="00D77E24"/>
    <w:rsid w:val="00D77EB6"/>
    <w:rsid w:val="00D8008E"/>
    <w:rsid w:val="00D81575"/>
    <w:rsid w:val="00D81905"/>
    <w:rsid w:val="00D826C7"/>
    <w:rsid w:val="00D827B4"/>
    <w:rsid w:val="00D8291C"/>
    <w:rsid w:val="00D82C45"/>
    <w:rsid w:val="00D835EA"/>
    <w:rsid w:val="00D83A26"/>
    <w:rsid w:val="00D84534"/>
    <w:rsid w:val="00D90725"/>
    <w:rsid w:val="00D908A8"/>
    <w:rsid w:val="00D9326E"/>
    <w:rsid w:val="00D945C7"/>
    <w:rsid w:val="00D953C7"/>
    <w:rsid w:val="00D95955"/>
    <w:rsid w:val="00D9659C"/>
    <w:rsid w:val="00D977B6"/>
    <w:rsid w:val="00D97B70"/>
    <w:rsid w:val="00DA0039"/>
    <w:rsid w:val="00DA02D2"/>
    <w:rsid w:val="00DA2011"/>
    <w:rsid w:val="00DA36B8"/>
    <w:rsid w:val="00DA48F3"/>
    <w:rsid w:val="00DA4A31"/>
    <w:rsid w:val="00DA5F04"/>
    <w:rsid w:val="00DA61F2"/>
    <w:rsid w:val="00DA6251"/>
    <w:rsid w:val="00DA6BB1"/>
    <w:rsid w:val="00DA796C"/>
    <w:rsid w:val="00DA7B04"/>
    <w:rsid w:val="00DB0D03"/>
    <w:rsid w:val="00DB17BA"/>
    <w:rsid w:val="00DB1F67"/>
    <w:rsid w:val="00DB36C2"/>
    <w:rsid w:val="00DB3BAE"/>
    <w:rsid w:val="00DB478E"/>
    <w:rsid w:val="00DB55EC"/>
    <w:rsid w:val="00DB7196"/>
    <w:rsid w:val="00DB7970"/>
    <w:rsid w:val="00DC018B"/>
    <w:rsid w:val="00DC169B"/>
    <w:rsid w:val="00DC2AB9"/>
    <w:rsid w:val="00DC2D70"/>
    <w:rsid w:val="00DC5A05"/>
    <w:rsid w:val="00DC63F0"/>
    <w:rsid w:val="00DC6DC2"/>
    <w:rsid w:val="00DC7557"/>
    <w:rsid w:val="00DC7ACD"/>
    <w:rsid w:val="00DC7C56"/>
    <w:rsid w:val="00DD06B3"/>
    <w:rsid w:val="00DD48D2"/>
    <w:rsid w:val="00DD5FE4"/>
    <w:rsid w:val="00DD621A"/>
    <w:rsid w:val="00DD6CF9"/>
    <w:rsid w:val="00DD6EE5"/>
    <w:rsid w:val="00DD6F8B"/>
    <w:rsid w:val="00DE1160"/>
    <w:rsid w:val="00DE147E"/>
    <w:rsid w:val="00DE1B8E"/>
    <w:rsid w:val="00DE217D"/>
    <w:rsid w:val="00DE298E"/>
    <w:rsid w:val="00DE2AAD"/>
    <w:rsid w:val="00DE386C"/>
    <w:rsid w:val="00DE4D29"/>
    <w:rsid w:val="00DE4D35"/>
    <w:rsid w:val="00DE5A5A"/>
    <w:rsid w:val="00DE75FF"/>
    <w:rsid w:val="00DE7ACD"/>
    <w:rsid w:val="00DF0549"/>
    <w:rsid w:val="00DF098B"/>
    <w:rsid w:val="00DF11C4"/>
    <w:rsid w:val="00DF210C"/>
    <w:rsid w:val="00DF23F2"/>
    <w:rsid w:val="00DF285B"/>
    <w:rsid w:val="00DF4B6A"/>
    <w:rsid w:val="00DF6EB2"/>
    <w:rsid w:val="00E01966"/>
    <w:rsid w:val="00E0285A"/>
    <w:rsid w:val="00E02C09"/>
    <w:rsid w:val="00E03965"/>
    <w:rsid w:val="00E04D59"/>
    <w:rsid w:val="00E05C63"/>
    <w:rsid w:val="00E07DA1"/>
    <w:rsid w:val="00E1043A"/>
    <w:rsid w:val="00E11461"/>
    <w:rsid w:val="00E123CB"/>
    <w:rsid w:val="00E128C4"/>
    <w:rsid w:val="00E12BE4"/>
    <w:rsid w:val="00E1557C"/>
    <w:rsid w:val="00E16479"/>
    <w:rsid w:val="00E205BD"/>
    <w:rsid w:val="00E20E13"/>
    <w:rsid w:val="00E21DBC"/>
    <w:rsid w:val="00E22673"/>
    <w:rsid w:val="00E228DE"/>
    <w:rsid w:val="00E23202"/>
    <w:rsid w:val="00E23841"/>
    <w:rsid w:val="00E23C55"/>
    <w:rsid w:val="00E23FFB"/>
    <w:rsid w:val="00E25571"/>
    <w:rsid w:val="00E25AC4"/>
    <w:rsid w:val="00E25D0C"/>
    <w:rsid w:val="00E25FF0"/>
    <w:rsid w:val="00E262D4"/>
    <w:rsid w:val="00E2700A"/>
    <w:rsid w:val="00E275D7"/>
    <w:rsid w:val="00E275DA"/>
    <w:rsid w:val="00E27DBE"/>
    <w:rsid w:val="00E27F47"/>
    <w:rsid w:val="00E31146"/>
    <w:rsid w:val="00E324C3"/>
    <w:rsid w:val="00E32AB1"/>
    <w:rsid w:val="00E3480B"/>
    <w:rsid w:val="00E35856"/>
    <w:rsid w:val="00E36C71"/>
    <w:rsid w:val="00E4033D"/>
    <w:rsid w:val="00E4035F"/>
    <w:rsid w:val="00E40404"/>
    <w:rsid w:val="00E406BF"/>
    <w:rsid w:val="00E409FA"/>
    <w:rsid w:val="00E41422"/>
    <w:rsid w:val="00E417C6"/>
    <w:rsid w:val="00E42024"/>
    <w:rsid w:val="00E4236D"/>
    <w:rsid w:val="00E4240F"/>
    <w:rsid w:val="00E4450C"/>
    <w:rsid w:val="00E4460F"/>
    <w:rsid w:val="00E44A2F"/>
    <w:rsid w:val="00E459C6"/>
    <w:rsid w:val="00E45AAB"/>
    <w:rsid w:val="00E4714E"/>
    <w:rsid w:val="00E47589"/>
    <w:rsid w:val="00E50566"/>
    <w:rsid w:val="00E5089D"/>
    <w:rsid w:val="00E512E6"/>
    <w:rsid w:val="00E5139F"/>
    <w:rsid w:val="00E51993"/>
    <w:rsid w:val="00E53A83"/>
    <w:rsid w:val="00E53A8E"/>
    <w:rsid w:val="00E548C5"/>
    <w:rsid w:val="00E565E6"/>
    <w:rsid w:val="00E6024A"/>
    <w:rsid w:val="00E6048B"/>
    <w:rsid w:val="00E6085B"/>
    <w:rsid w:val="00E6230D"/>
    <w:rsid w:val="00E637A3"/>
    <w:rsid w:val="00E63CED"/>
    <w:rsid w:val="00E64915"/>
    <w:rsid w:val="00E661D4"/>
    <w:rsid w:val="00E6675C"/>
    <w:rsid w:val="00E669CE"/>
    <w:rsid w:val="00E677D2"/>
    <w:rsid w:val="00E70043"/>
    <w:rsid w:val="00E70091"/>
    <w:rsid w:val="00E7022D"/>
    <w:rsid w:val="00E717CF"/>
    <w:rsid w:val="00E720F5"/>
    <w:rsid w:val="00E73836"/>
    <w:rsid w:val="00E73842"/>
    <w:rsid w:val="00E74CA6"/>
    <w:rsid w:val="00E750F3"/>
    <w:rsid w:val="00E76D47"/>
    <w:rsid w:val="00E770F7"/>
    <w:rsid w:val="00E82EFA"/>
    <w:rsid w:val="00E82FC6"/>
    <w:rsid w:val="00E849F7"/>
    <w:rsid w:val="00E852B3"/>
    <w:rsid w:val="00E90302"/>
    <w:rsid w:val="00E908E4"/>
    <w:rsid w:val="00E92504"/>
    <w:rsid w:val="00E93ED0"/>
    <w:rsid w:val="00E940D3"/>
    <w:rsid w:val="00E951D4"/>
    <w:rsid w:val="00E9597F"/>
    <w:rsid w:val="00E96021"/>
    <w:rsid w:val="00E96722"/>
    <w:rsid w:val="00E97396"/>
    <w:rsid w:val="00E976B3"/>
    <w:rsid w:val="00E9778E"/>
    <w:rsid w:val="00EA0021"/>
    <w:rsid w:val="00EA080F"/>
    <w:rsid w:val="00EA13BD"/>
    <w:rsid w:val="00EA185E"/>
    <w:rsid w:val="00EA1EB1"/>
    <w:rsid w:val="00EA31EF"/>
    <w:rsid w:val="00EA3561"/>
    <w:rsid w:val="00EA36BB"/>
    <w:rsid w:val="00EA592A"/>
    <w:rsid w:val="00EA5CAB"/>
    <w:rsid w:val="00EA60A3"/>
    <w:rsid w:val="00EA6F09"/>
    <w:rsid w:val="00EA720A"/>
    <w:rsid w:val="00EB035C"/>
    <w:rsid w:val="00EB0BF2"/>
    <w:rsid w:val="00EB1090"/>
    <w:rsid w:val="00EB10AE"/>
    <w:rsid w:val="00EB14E4"/>
    <w:rsid w:val="00EB169C"/>
    <w:rsid w:val="00EB2F8D"/>
    <w:rsid w:val="00EB32A5"/>
    <w:rsid w:val="00EB34ED"/>
    <w:rsid w:val="00EB52F7"/>
    <w:rsid w:val="00EB6090"/>
    <w:rsid w:val="00EB693A"/>
    <w:rsid w:val="00EB6AB3"/>
    <w:rsid w:val="00EB727F"/>
    <w:rsid w:val="00EB7BE0"/>
    <w:rsid w:val="00EC003F"/>
    <w:rsid w:val="00EC16B7"/>
    <w:rsid w:val="00EC1AA5"/>
    <w:rsid w:val="00EC1FD6"/>
    <w:rsid w:val="00EC315E"/>
    <w:rsid w:val="00EC5A2C"/>
    <w:rsid w:val="00EC6134"/>
    <w:rsid w:val="00EC760F"/>
    <w:rsid w:val="00ED077C"/>
    <w:rsid w:val="00ED1190"/>
    <w:rsid w:val="00ED142D"/>
    <w:rsid w:val="00ED143B"/>
    <w:rsid w:val="00ED1EF1"/>
    <w:rsid w:val="00ED2562"/>
    <w:rsid w:val="00ED3118"/>
    <w:rsid w:val="00ED40AA"/>
    <w:rsid w:val="00ED4306"/>
    <w:rsid w:val="00ED63BE"/>
    <w:rsid w:val="00ED6544"/>
    <w:rsid w:val="00EE0277"/>
    <w:rsid w:val="00EE1DA9"/>
    <w:rsid w:val="00EE1DC1"/>
    <w:rsid w:val="00EE1FA8"/>
    <w:rsid w:val="00EE206F"/>
    <w:rsid w:val="00EE2AD1"/>
    <w:rsid w:val="00EE3E00"/>
    <w:rsid w:val="00EE41E6"/>
    <w:rsid w:val="00EE5087"/>
    <w:rsid w:val="00EE58B1"/>
    <w:rsid w:val="00EE5DD2"/>
    <w:rsid w:val="00EE5F6C"/>
    <w:rsid w:val="00EE6807"/>
    <w:rsid w:val="00EE7D61"/>
    <w:rsid w:val="00EF01D6"/>
    <w:rsid w:val="00EF3668"/>
    <w:rsid w:val="00EF3EF2"/>
    <w:rsid w:val="00EF41F1"/>
    <w:rsid w:val="00EF4F08"/>
    <w:rsid w:val="00EF573B"/>
    <w:rsid w:val="00EF6098"/>
    <w:rsid w:val="00EF65A5"/>
    <w:rsid w:val="00F0073E"/>
    <w:rsid w:val="00F00A79"/>
    <w:rsid w:val="00F00E86"/>
    <w:rsid w:val="00F00F06"/>
    <w:rsid w:val="00F00F8B"/>
    <w:rsid w:val="00F0113D"/>
    <w:rsid w:val="00F01AEE"/>
    <w:rsid w:val="00F0261E"/>
    <w:rsid w:val="00F03A21"/>
    <w:rsid w:val="00F049ED"/>
    <w:rsid w:val="00F0513D"/>
    <w:rsid w:val="00F05214"/>
    <w:rsid w:val="00F063F0"/>
    <w:rsid w:val="00F07C1E"/>
    <w:rsid w:val="00F1013E"/>
    <w:rsid w:val="00F105DB"/>
    <w:rsid w:val="00F1063F"/>
    <w:rsid w:val="00F10D73"/>
    <w:rsid w:val="00F11190"/>
    <w:rsid w:val="00F132BC"/>
    <w:rsid w:val="00F13CB9"/>
    <w:rsid w:val="00F13D80"/>
    <w:rsid w:val="00F15EFF"/>
    <w:rsid w:val="00F16000"/>
    <w:rsid w:val="00F16214"/>
    <w:rsid w:val="00F16AAA"/>
    <w:rsid w:val="00F21161"/>
    <w:rsid w:val="00F218EF"/>
    <w:rsid w:val="00F21BC7"/>
    <w:rsid w:val="00F21BF1"/>
    <w:rsid w:val="00F22915"/>
    <w:rsid w:val="00F229ED"/>
    <w:rsid w:val="00F22AC0"/>
    <w:rsid w:val="00F22B83"/>
    <w:rsid w:val="00F233C9"/>
    <w:rsid w:val="00F23716"/>
    <w:rsid w:val="00F23C91"/>
    <w:rsid w:val="00F2446C"/>
    <w:rsid w:val="00F245E4"/>
    <w:rsid w:val="00F25094"/>
    <w:rsid w:val="00F2522A"/>
    <w:rsid w:val="00F266A2"/>
    <w:rsid w:val="00F2695A"/>
    <w:rsid w:val="00F26E91"/>
    <w:rsid w:val="00F30533"/>
    <w:rsid w:val="00F30DAC"/>
    <w:rsid w:val="00F32269"/>
    <w:rsid w:val="00F324BC"/>
    <w:rsid w:val="00F324C7"/>
    <w:rsid w:val="00F33118"/>
    <w:rsid w:val="00F33975"/>
    <w:rsid w:val="00F33FFA"/>
    <w:rsid w:val="00F35A2F"/>
    <w:rsid w:val="00F35A63"/>
    <w:rsid w:val="00F408EF"/>
    <w:rsid w:val="00F413AF"/>
    <w:rsid w:val="00F42A76"/>
    <w:rsid w:val="00F42B12"/>
    <w:rsid w:val="00F4434D"/>
    <w:rsid w:val="00F4457E"/>
    <w:rsid w:val="00F44B57"/>
    <w:rsid w:val="00F46052"/>
    <w:rsid w:val="00F47002"/>
    <w:rsid w:val="00F50758"/>
    <w:rsid w:val="00F52F31"/>
    <w:rsid w:val="00F53056"/>
    <w:rsid w:val="00F534F2"/>
    <w:rsid w:val="00F53B05"/>
    <w:rsid w:val="00F5475E"/>
    <w:rsid w:val="00F54843"/>
    <w:rsid w:val="00F56858"/>
    <w:rsid w:val="00F56A6F"/>
    <w:rsid w:val="00F5709C"/>
    <w:rsid w:val="00F60D44"/>
    <w:rsid w:val="00F62A5A"/>
    <w:rsid w:val="00F62EBD"/>
    <w:rsid w:val="00F64EF1"/>
    <w:rsid w:val="00F658EF"/>
    <w:rsid w:val="00F66B7F"/>
    <w:rsid w:val="00F70522"/>
    <w:rsid w:val="00F710A0"/>
    <w:rsid w:val="00F71BFD"/>
    <w:rsid w:val="00F71E37"/>
    <w:rsid w:val="00F7272D"/>
    <w:rsid w:val="00F73A42"/>
    <w:rsid w:val="00F73E09"/>
    <w:rsid w:val="00F73F4B"/>
    <w:rsid w:val="00F74AB4"/>
    <w:rsid w:val="00F750B0"/>
    <w:rsid w:val="00F8027C"/>
    <w:rsid w:val="00F81712"/>
    <w:rsid w:val="00F81BE5"/>
    <w:rsid w:val="00F8244D"/>
    <w:rsid w:val="00F82D85"/>
    <w:rsid w:val="00F838F5"/>
    <w:rsid w:val="00F84172"/>
    <w:rsid w:val="00F8461B"/>
    <w:rsid w:val="00F84728"/>
    <w:rsid w:val="00F865B5"/>
    <w:rsid w:val="00F86C1D"/>
    <w:rsid w:val="00F8765F"/>
    <w:rsid w:val="00F90767"/>
    <w:rsid w:val="00F91100"/>
    <w:rsid w:val="00F9332C"/>
    <w:rsid w:val="00F9481B"/>
    <w:rsid w:val="00F9649E"/>
    <w:rsid w:val="00F96A6D"/>
    <w:rsid w:val="00F97CB3"/>
    <w:rsid w:val="00FA08E1"/>
    <w:rsid w:val="00FA0B6C"/>
    <w:rsid w:val="00FA1195"/>
    <w:rsid w:val="00FA1ED5"/>
    <w:rsid w:val="00FA2410"/>
    <w:rsid w:val="00FA2E4C"/>
    <w:rsid w:val="00FA2EB9"/>
    <w:rsid w:val="00FA334A"/>
    <w:rsid w:val="00FA4480"/>
    <w:rsid w:val="00FA597C"/>
    <w:rsid w:val="00FA5B68"/>
    <w:rsid w:val="00FA5C52"/>
    <w:rsid w:val="00FA685B"/>
    <w:rsid w:val="00FA79C5"/>
    <w:rsid w:val="00FA7B8C"/>
    <w:rsid w:val="00FB066D"/>
    <w:rsid w:val="00FB0C01"/>
    <w:rsid w:val="00FB11A6"/>
    <w:rsid w:val="00FB20D1"/>
    <w:rsid w:val="00FB299D"/>
    <w:rsid w:val="00FB6087"/>
    <w:rsid w:val="00FC18F2"/>
    <w:rsid w:val="00FC39E5"/>
    <w:rsid w:val="00FC3A78"/>
    <w:rsid w:val="00FC4643"/>
    <w:rsid w:val="00FC489E"/>
    <w:rsid w:val="00FC4AEB"/>
    <w:rsid w:val="00FC4D5A"/>
    <w:rsid w:val="00FC5219"/>
    <w:rsid w:val="00FC5AD0"/>
    <w:rsid w:val="00FC5FFE"/>
    <w:rsid w:val="00FC61BC"/>
    <w:rsid w:val="00FC6A36"/>
    <w:rsid w:val="00FC7AAB"/>
    <w:rsid w:val="00FD0C2A"/>
    <w:rsid w:val="00FD1005"/>
    <w:rsid w:val="00FD29AA"/>
    <w:rsid w:val="00FD3180"/>
    <w:rsid w:val="00FD35AA"/>
    <w:rsid w:val="00FD392B"/>
    <w:rsid w:val="00FD3A5F"/>
    <w:rsid w:val="00FD67A7"/>
    <w:rsid w:val="00FD6C3A"/>
    <w:rsid w:val="00FD6C75"/>
    <w:rsid w:val="00FD746E"/>
    <w:rsid w:val="00FE0DEC"/>
    <w:rsid w:val="00FE15EA"/>
    <w:rsid w:val="00FE1732"/>
    <w:rsid w:val="00FE3410"/>
    <w:rsid w:val="00FE491F"/>
    <w:rsid w:val="00FE6174"/>
    <w:rsid w:val="00FE71B3"/>
    <w:rsid w:val="00FE720D"/>
    <w:rsid w:val="00FF141B"/>
    <w:rsid w:val="00FF19B3"/>
    <w:rsid w:val="00FF23A7"/>
    <w:rsid w:val="00FF2596"/>
    <w:rsid w:val="00FF2FD5"/>
    <w:rsid w:val="00FF42C5"/>
    <w:rsid w:val="00FF4DBB"/>
    <w:rsid w:val="00FF551C"/>
    <w:rsid w:val="00FF63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30104D"/>
    <w:pPr>
      <w:jc w:val="both"/>
    </w:pPr>
    <w:rPr>
      <w:rFonts w:eastAsiaTheme="minorEastAsia"/>
      <w:sz w:val="24"/>
      <w:lang w:val="en-GB"/>
    </w:rPr>
  </w:style>
  <w:style w:type="paragraph" w:styleId="Titolo1">
    <w:name w:val="heading 1"/>
    <w:basedOn w:val="Normale"/>
    <w:next w:val="Normale"/>
    <w:link w:val="Titolo1Carattere"/>
    <w:uiPriority w:val="99"/>
    <w:semiHidden/>
    <w:rsid w:val="0030104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30104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30104D"/>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30104D"/>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30104D"/>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30104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30104D"/>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30104D"/>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30104D"/>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010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104D"/>
    <w:rPr>
      <w:rFonts w:ascii="Tahoma" w:eastAsiaTheme="minorEastAsia" w:hAnsi="Tahoma" w:cs="Tahoma"/>
      <w:sz w:val="16"/>
      <w:szCs w:val="16"/>
      <w:lang w:val="en-GB"/>
    </w:rPr>
  </w:style>
  <w:style w:type="character" w:styleId="Titolodellibro">
    <w:name w:val="Book Title"/>
    <w:uiPriority w:val="99"/>
    <w:semiHidden/>
    <w:qFormat/>
    <w:rsid w:val="0030104D"/>
    <w:rPr>
      <w:i/>
      <w:iCs/>
      <w:smallCaps/>
      <w:spacing w:val="5"/>
    </w:rPr>
  </w:style>
  <w:style w:type="paragraph" w:customStyle="1" w:styleId="ECHRHeader">
    <w:name w:val="ECHR_Header"/>
    <w:aliases w:val="Ju_Header"/>
    <w:basedOn w:val="Intestazione"/>
    <w:uiPriority w:val="4"/>
    <w:qFormat/>
    <w:rsid w:val="0030104D"/>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30104D"/>
    <w:pPr>
      <w:jc w:val="left"/>
    </w:pPr>
    <w:rPr>
      <w:sz w:val="8"/>
    </w:rPr>
  </w:style>
  <w:style w:type="character" w:styleId="Enfasigrassetto">
    <w:name w:val="Strong"/>
    <w:uiPriority w:val="99"/>
    <w:semiHidden/>
    <w:qFormat/>
    <w:rsid w:val="0030104D"/>
    <w:rPr>
      <w:b/>
      <w:bCs/>
    </w:rPr>
  </w:style>
  <w:style w:type="paragraph" w:styleId="Nessunaspaziatura">
    <w:name w:val="No Spacing"/>
    <w:basedOn w:val="Normale"/>
    <w:link w:val="NessunaspaziaturaCarattere"/>
    <w:semiHidden/>
    <w:qFormat/>
    <w:rsid w:val="0030104D"/>
    <w:rPr>
      <w:sz w:val="22"/>
      <w:lang w:val="en-US"/>
    </w:rPr>
  </w:style>
  <w:style w:type="character" w:customStyle="1" w:styleId="NessunaspaziaturaCarattere">
    <w:name w:val="Nessuna spaziatura Carattere"/>
    <w:basedOn w:val="Carpredefinitoparagrafo"/>
    <w:link w:val="Nessunaspaziatura"/>
    <w:semiHidden/>
    <w:rsid w:val="0030104D"/>
    <w:rPr>
      <w:rFonts w:eastAsiaTheme="minorEastAsia"/>
    </w:rPr>
  </w:style>
  <w:style w:type="paragraph" w:customStyle="1" w:styleId="ECHRFooterLine">
    <w:name w:val="ECHR_Footer_Line"/>
    <w:aliases w:val="Footer_Line"/>
    <w:basedOn w:val="Normale"/>
    <w:next w:val="ECHRFooter"/>
    <w:uiPriority w:val="57"/>
    <w:semiHidden/>
    <w:rsid w:val="0030104D"/>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30104D"/>
  </w:style>
  <w:style w:type="paragraph" w:customStyle="1" w:styleId="DecList">
    <w:name w:val="Dec_List"/>
    <w:basedOn w:val="Normale"/>
    <w:uiPriority w:val="9"/>
    <w:semiHidden/>
    <w:qFormat/>
    <w:rsid w:val="0030104D"/>
    <w:pPr>
      <w:spacing w:before="240"/>
      <w:ind w:left="284"/>
    </w:pPr>
  </w:style>
  <w:style w:type="paragraph" w:customStyle="1" w:styleId="DummyStyle">
    <w:name w:val="Dummy_Style"/>
    <w:basedOn w:val="Normale"/>
    <w:semiHidden/>
    <w:qFormat/>
    <w:rsid w:val="0030104D"/>
    <w:rPr>
      <w:color w:val="00B050"/>
    </w:rPr>
  </w:style>
  <w:style w:type="paragraph" w:customStyle="1" w:styleId="ECHRTitleCentre3">
    <w:name w:val="ECHR_Title_Centre_3"/>
    <w:aliases w:val="Ju_H_Article"/>
    <w:basedOn w:val="Normale"/>
    <w:next w:val="ECHRParaQuote"/>
    <w:uiPriority w:val="27"/>
    <w:qFormat/>
    <w:rsid w:val="0030104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30104D"/>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30104D"/>
    <w:pPr>
      <w:numPr>
        <w:numId w:val="22"/>
      </w:numPr>
      <w:jc w:val="left"/>
    </w:pPr>
    <w:rPr>
      <w:b/>
    </w:rPr>
  </w:style>
  <w:style w:type="paragraph" w:customStyle="1" w:styleId="JuCourt">
    <w:name w:val="Ju_Court"/>
    <w:basedOn w:val="Normale"/>
    <w:next w:val="Normale"/>
    <w:uiPriority w:val="16"/>
    <w:qFormat/>
    <w:rsid w:val="0030104D"/>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30104D"/>
    <w:pPr>
      <w:tabs>
        <w:tab w:val="clear" w:pos="3686"/>
        <w:tab w:val="clear" w:pos="7371"/>
        <w:tab w:val="center" w:pos="6146"/>
        <w:tab w:val="right" w:pos="12293"/>
      </w:tabs>
    </w:pPr>
  </w:style>
  <w:style w:type="paragraph" w:customStyle="1" w:styleId="ECHRTitleCentre2">
    <w:name w:val="ECHR_Title_Centre_2"/>
    <w:aliases w:val="Dec_H_Case"/>
    <w:basedOn w:val="Normale"/>
    <w:next w:val="ECHRPara"/>
    <w:uiPriority w:val="8"/>
    <w:qFormat/>
    <w:rsid w:val="0030104D"/>
    <w:pPr>
      <w:spacing w:after="240"/>
      <w:jc w:val="center"/>
      <w:outlineLvl w:val="0"/>
    </w:pPr>
    <w:rPr>
      <w:rFonts w:asciiTheme="majorHAnsi" w:hAnsiTheme="majorHAnsi"/>
    </w:rPr>
  </w:style>
  <w:style w:type="paragraph" w:customStyle="1" w:styleId="JuInitialled">
    <w:name w:val="Ju_Initialled"/>
    <w:basedOn w:val="Normale"/>
    <w:uiPriority w:val="31"/>
    <w:qFormat/>
    <w:rsid w:val="0030104D"/>
    <w:pPr>
      <w:tabs>
        <w:tab w:val="center" w:pos="6407"/>
      </w:tabs>
      <w:spacing w:before="720"/>
      <w:jc w:val="right"/>
    </w:pPr>
  </w:style>
  <w:style w:type="paragraph" w:styleId="Titolo">
    <w:name w:val="Title"/>
    <w:basedOn w:val="Normale"/>
    <w:next w:val="Normale"/>
    <w:link w:val="TitoloCarattere"/>
    <w:uiPriority w:val="99"/>
    <w:semiHidden/>
    <w:qFormat/>
    <w:rsid w:val="0030104D"/>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30104D"/>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30104D"/>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30104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30104D"/>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30104D"/>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30104D"/>
    <w:pPr>
      <w:keepNext/>
      <w:keepLines/>
      <w:spacing w:before="240" w:after="120"/>
      <w:ind w:left="1236"/>
    </w:pPr>
    <w:rPr>
      <w:sz w:val="20"/>
      <w:lang w:val="en-GB"/>
    </w:rPr>
  </w:style>
  <w:style w:type="character" w:customStyle="1" w:styleId="JuITMark">
    <w:name w:val="Ju_ITMark"/>
    <w:basedOn w:val="Carpredefinitoparagrafo"/>
    <w:uiPriority w:val="38"/>
    <w:qFormat/>
    <w:rsid w:val="0030104D"/>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30104D"/>
    <w:rPr>
      <w:caps w:val="0"/>
      <w:smallCaps/>
    </w:rPr>
  </w:style>
  <w:style w:type="paragraph" w:customStyle="1" w:styleId="JuParaSub">
    <w:name w:val="Ju_Para_Sub"/>
    <w:basedOn w:val="ECHRPara"/>
    <w:uiPriority w:val="13"/>
    <w:qFormat/>
    <w:rsid w:val="0030104D"/>
    <w:pPr>
      <w:ind w:left="284"/>
    </w:pPr>
  </w:style>
  <w:style w:type="paragraph" w:styleId="Intestazione">
    <w:name w:val="header"/>
    <w:basedOn w:val="Normale"/>
    <w:link w:val="IntestazioneCarattere"/>
    <w:uiPriority w:val="57"/>
    <w:semiHidden/>
    <w:rsid w:val="0030104D"/>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30104D"/>
    <w:rPr>
      <w:sz w:val="24"/>
      <w:lang w:val="en-GB"/>
    </w:rPr>
  </w:style>
  <w:style w:type="character" w:customStyle="1" w:styleId="Titolo1Carattere">
    <w:name w:val="Titolo 1 Carattere"/>
    <w:basedOn w:val="Carpredefinitoparagrafo"/>
    <w:link w:val="Titolo1"/>
    <w:uiPriority w:val="99"/>
    <w:semiHidden/>
    <w:rsid w:val="0030104D"/>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30104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30104D"/>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30104D"/>
    <w:rPr>
      <w:rFonts w:asciiTheme="majorHAnsi" w:eastAsiaTheme="majorEastAsia" w:hAnsiTheme="majorHAnsi" w:cstheme="majorBidi"/>
      <w:b/>
      <w:bCs/>
      <w:color w:val="4D4D4D"/>
      <w:sz w:val="26"/>
      <w:szCs w:val="26"/>
      <w:lang w:val="en-GB"/>
    </w:rPr>
  </w:style>
  <w:style w:type="paragraph" w:customStyle="1" w:styleId="JuQuotSub">
    <w:name w:val="Ju_Quot_Sub"/>
    <w:basedOn w:val="ECHRParaQuote"/>
    <w:uiPriority w:val="15"/>
    <w:qFormat/>
    <w:rsid w:val="0030104D"/>
    <w:pPr>
      <w:ind w:left="567"/>
    </w:pPr>
  </w:style>
  <w:style w:type="paragraph" w:customStyle="1" w:styleId="JuCase">
    <w:name w:val="Ju_Case"/>
    <w:basedOn w:val="Normale"/>
    <w:next w:val="ECHRPara"/>
    <w:uiPriority w:val="10"/>
    <w:rsid w:val="0030104D"/>
    <w:pPr>
      <w:ind w:firstLine="284"/>
    </w:pPr>
    <w:rPr>
      <w:b/>
    </w:rPr>
  </w:style>
  <w:style w:type="character" w:customStyle="1" w:styleId="Titolo3Carattere">
    <w:name w:val="Titolo 3 Carattere"/>
    <w:basedOn w:val="Carpredefinitoparagrafo"/>
    <w:link w:val="Titolo3"/>
    <w:uiPriority w:val="99"/>
    <w:semiHidden/>
    <w:rsid w:val="0030104D"/>
    <w:rPr>
      <w:rFonts w:asciiTheme="majorHAnsi" w:eastAsiaTheme="majorEastAsia" w:hAnsiTheme="majorHAnsi" w:cstheme="majorBidi"/>
      <w:b/>
      <w:bCs/>
      <w:color w:val="5F5F5F"/>
      <w:sz w:val="24"/>
      <w:lang w:val="en-GB"/>
    </w:rPr>
  </w:style>
  <w:style w:type="character" w:customStyle="1" w:styleId="Titolo4Carattere">
    <w:name w:val="Titolo 4 Carattere"/>
    <w:basedOn w:val="Carpredefinitoparagrafo"/>
    <w:link w:val="Titolo4"/>
    <w:uiPriority w:val="99"/>
    <w:semiHidden/>
    <w:rsid w:val="0030104D"/>
    <w:rPr>
      <w:rFonts w:asciiTheme="majorHAnsi" w:eastAsiaTheme="majorEastAsia" w:hAnsiTheme="majorHAnsi" w:cstheme="majorBidi"/>
      <w:b/>
      <w:bCs/>
      <w:i/>
      <w:iCs/>
      <w:color w:val="777777"/>
      <w:sz w:val="24"/>
      <w:lang w:val="en-GB"/>
    </w:rPr>
  </w:style>
  <w:style w:type="character" w:customStyle="1" w:styleId="Titolo5Carattere">
    <w:name w:val="Titolo 5 Carattere"/>
    <w:basedOn w:val="Carpredefinitoparagrafo"/>
    <w:link w:val="Titolo5"/>
    <w:uiPriority w:val="99"/>
    <w:semiHidden/>
    <w:rsid w:val="0030104D"/>
    <w:rPr>
      <w:rFonts w:asciiTheme="majorHAnsi" w:eastAsiaTheme="majorEastAsia" w:hAnsiTheme="majorHAnsi" w:cstheme="majorBidi"/>
      <w:b/>
      <w:bCs/>
      <w:color w:val="808080"/>
    </w:rPr>
  </w:style>
  <w:style w:type="character" w:styleId="Enfasidelicata">
    <w:name w:val="Subtle Emphasis"/>
    <w:uiPriority w:val="99"/>
    <w:semiHidden/>
    <w:qFormat/>
    <w:rsid w:val="0030104D"/>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30104D"/>
    <w:pPr>
      <w:keepNext/>
      <w:keepLines/>
      <w:spacing w:before="720" w:after="240"/>
      <w:outlineLvl w:val="0"/>
    </w:pPr>
    <w:rPr>
      <w:rFonts w:asciiTheme="majorHAnsi" w:hAnsiTheme="majorHAnsi"/>
      <w:sz w:val="28"/>
    </w:rPr>
  </w:style>
  <w:style w:type="character" w:styleId="Enfasicorsivo">
    <w:name w:val="Emphasis"/>
    <w:uiPriority w:val="99"/>
    <w:semiHidden/>
    <w:qFormat/>
    <w:rsid w:val="0030104D"/>
    <w:rPr>
      <w:b/>
      <w:bCs/>
      <w:i/>
      <w:iCs/>
      <w:spacing w:val="10"/>
      <w:bdr w:val="none" w:sz="0" w:space="0" w:color="auto"/>
      <w:shd w:val="clear" w:color="auto" w:fill="auto"/>
    </w:rPr>
  </w:style>
  <w:style w:type="paragraph" w:styleId="Pidipagina">
    <w:name w:val="footer"/>
    <w:basedOn w:val="Normale"/>
    <w:link w:val="PidipaginaCarattere"/>
    <w:uiPriority w:val="57"/>
    <w:semiHidden/>
    <w:rsid w:val="0030104D"/>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30104D"/>
    <w:rPr>
      <w:sz w:val="24"/>
      <w:lang w:val="en-GB"/>
    </w:rPr>
  </w:style>
  <w:style w:type="character" w:styleId="Rimandonotaapidipagina">
    <w:name w:val="footnote reference"/>
    <w:basedOn w:val="Carpredefinitoparagrafo"/>
    <w:uiPriority w:val="99"/>
    <w:semiHidden/>
    <w:rsid w:val="0030104D"/>
    <w:rPr>
      <w:vertAlign w:val="superscript"/>
    </w:rPr>
  </w:style>
  <w:style w:type="paragraph" w:styleId="Testonotaapidipagina">
    <w:name w:val="footnote text"/>
    <w:basedOn w:val="Normale"/>
    <w:link w:val="TestonotaapidipaginaCarattere"/>
    <w:uiPriority w:val="99"/>
    <w:semiHidden/>
    <w:rsid w:val="0030104D"/>
    <w:rPr>
      <w:sz w:val="20"/>
      <w:szCs w:val="20"/>
    </w:rPr>
  </w:style>
  <w:style w:type="character" w:customStyle="1" w:styleId="TestonotaapidipaginaCarattere">
    <w:name w:val="Testo nota a piè di pagina Carattere"/>
    <w:basedOn w:val="Carpredefinitoparagrafo"/>
    <w:link w:val="Testonotaapidipagina"/>
    <w:uiPriority w:val="99"/>
    <w:semiHidden/>
    <w:rsid w:val="0030104D"/>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30104D"/>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30104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30104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30104D"/>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30104D"/>
    <w:rPr>
      <w:color w:val="0072BC" w:themeColor="hyperlink"/>
      <w:u w:val="single"/>
    </w:rPr>
  </w:style>
  <w:style w:type="character" w:styleId="Enfasiintensa">
    <w:name w:val="Intense Emphasis"/>
    <w:uiPriority w:val="99"/>
    <w:semiHidden/>
    <w:qFormat/>
    <w:rsid w:val="0030104D"/>
    <w:rPr>
      <w:b/>
      <w:bCs/>
    </w:rPr>
  </w:style>
  <w:style w:type="paragraph" w:styleId="Citazioneintensa">
    <w:name w:val="Intense Quote"/>
    <w:basedOn w:val="Normale"/>
    <w:next w:val="Normale"/>
    <w:link w:val="CitazioneintensaCarattere"/>
    <w:uiPriority w:val="99"/>
    <w:semiHidden/>
    <w:qFormat/>
    <w:rsid w:val="0030104D"/>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30104D"/>
    <w:rPr>
      <w:rFonts w:eastAsiaTheme="minorEastAsia"/>
      <w:b/>
      <w:bCs/>
      <w:i/>
      <w:iCs/>
      <w:lang w:bidi="en-US"/>
    </w:rPr>
  </w:style>
  <w:style w:type="character" w:styleId="Riferimentointenso">
    <w:name w:val="Intense Reference"/>
    <w:uiPriority w:val="99"/>
    <w:semiHidden/>
    <w:qFormat/>
    <w:rsid w:val="0030104D"/>
    <w:rPr>
      <w:smallCaps/>
      <w:spacing w:val="5"/>
      <w:u w:val="single"/>
    </w:rPr>
  </w:style>
  <w:style w:type="paragraph" w:styleId="Paragrafoelenco">
    <w:name w:val="List Paragraph"/>
    <w:basedOn w:val="Normale"/>
    <w:uiPriority w:val="99"/>
    <w:semiHidden/>
    <w:qFormat/>
    <w:rsid w:val="0030104D"/>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30104D"/>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30104D"/>
    <w:rPr>
      <w:rFonts w:eastAsiaTheme="minorEastAsia"/>
      <w:i/>
      <w:iCs/>
      <w:lang w:bidi="en-US"/>
    </w:rPr>
  </w:style>
  <w:style w:type="character" w:styleId="Riferimentodelicato">
    <w:name w:val="Subtle Reference"/>
    <w:uiPriority w:val="99"/>
    <w:semiHidden/>
    <w:qFormat/>
    <w:rsid w:val="0030104D"/>
    <w:rPr>
      <w:smallCaps/>
    </w:rPr>
  </w:style>
  <w:style w:type="table" w:styleId="Grigliatabella">
    <w:name w:val="Table Grid"/>
    <w:basedOn w:val="Tabellanormale"/>
    <w:uiPriority w:val="59"/>
    <w:semiHidden/>
    <w:rsid w:val="0030104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30104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30104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30104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30104D"/>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30104D"/>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30104D"/>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30104D"/>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30104D"/>
    <w:pPr>
      <w:spacing w:before="120" w:after="120"/>
      <w:ind w:left="425" w:firstLine="142"/>
    </w:pPr>
    <w:rPr>
      <w:sz w:val="20"/>
    </w:rPr>
  </w:style>
  <w:style w:type="paragraph" w:customStyle="1" w:styleId="ECHRPara">
    <w:name w:val="ECHR_Para"/>
    <w:aliases w:val="Ju_Para"/>
    <w:basedOn w:val="Normale"/>
    <w:link w:val="ECHRParaChar"/>
    <w:uiPriority w:val="12"/>
    <w:qFormat/>
    <w:rsid w:val="0030104D"/>
    <w:pPr>
      <w:ind w:firstLine="284"/>
    </w:p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30104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30104D"/>
    <w:pPr>
      <w:tabs>
        <w:tab w:val="left" w:pos="567"/>
        <w:tab w:val="left" w:pos="1134"/>
      </w:tabs>
      <w:jc w:val="left"/>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e"/>
    <w:uiPriority w:val="28"/>
    <w:qFormat/>
    <w:rsid w:val="0030104D"/>
    <w:pPr>
      <w:ind w:left="340" w:hanging="340"/>
    </w:pPr>
  </w:style>
  <w:style w:type="paragraph" w:customStyle="1" w:styleId="JuSigned">
    <w:name w:val="Ju_Signed"/>
    <w:basedOn w:val="Normale"/>
    <w:next w:val="JuParaLast"/>
    <w:uiPriority w:val="32"/>
    <w:qFormat/>
    <w:rsid w:val="0030104D"/>
    <w:pPr>
      <w:tabs>
        <w:tab w:val="center" w:pos="851"/>
        <w:tab w:val="center" w:pos="6407"/>
      </w:tabs>
      <w:spacing w:before="720"/>
      <w:jc w:val="left"/>
    </w:pPr>
  </w:style>
  <w:style w:type="paragraph" w:customStyle="1" w:styleId="JuParaLast">
    <w:name w:val="Ju_Para_Last"/>
    <w:basedOn w:val="Normale"/>
    <w:next w:val="ECHRPara"/>
    <w:uiPriority w:val="30"/>
    <w:qFormat/>
    <w:rsid w:val="0030104D"/>
    <w:pPr>
      <w:keepNext/>
      <w:keepLines/>
      <w:spacing w:before="240"/>
      <w:ind w:firstLine="284"/>
    </w:pPr>
  </w:style>
  <w:style w:type="paragraph" w:customStyle="1" w:styleId="JuTitle">
    <w:name w:val="Ju_Title"/>
    <w:basedOn w:val="Normale"/>
    <w:next w:val="ECHRPara"/>
    <w:uiPriority w:val="3"/>
    <w:semiHidden/>
    <w:qFormat/>
    <w:rsid w:val="0030104D"/>
    <w:pPr>
      <w:spacing w:before="720" w:after="240"/>
      <w:jc w:val="center"/>
      <w:outlineLvl w:val="0"/>
    </w:pPr>
    <w:rPr>
      <w:rFonts w:asciiTheme="majorHAnsi" w:hAnsiTheme="majorHAnsi"/>
      <w:b/>
      <w:caps/>
    </w:rPr>
  </w:style>
  <w:style w:type="character" w:styleId="Numeropagina">
    <w:name w:val="page number"/>
    <w:uiPriority w:val="99"/>
    <w:semiHidden/>
    <w:rsid w:val="00014566"/>
    <w:rPr>
      <w:sz w:val="18"/>
    </w:rPr>
  </w:style>
  <w:style w:type="paragraph" w:customStyle="1" w:styleId="JuLista">
    <w:name w:val="Ju_List_a"/>
    <w:basedOn w:val="JuList"/>
    <w:uiPriority w:val="28"/>
    <w:qFormat/>
    <w:rsid w:val="0030104D"/>
    <w:pPr>
      <w:ind w:left="346" w:firstLine="0"/>
    </w:pPr>
  </w:style>
  <w:style w:type="paragraph" w:customStyle="1" w:styleId="JuListi">
    <w:name w:val="Ju_List_i"/>
    <w:basedOn w:val="Normale"/>
    <w:next w:val="JuLista"/>
    <w:uiPriority w:val="28"/>
    <w:qFormat/>
    <w:rsid w:val="0030104D"/>
    <w:pPr>
      <w:ind w:left="794"/>
    </w:pPr>
  </w:style>
  <w:style w:type="character" w:styleId="Rimandocommento">
    <w:name w:val="annotation reference"/>
    <w:uiPriority w:val="99"/>
    <w:semiHidden/>
    <w:rsid w:val="00014566"/>
    <w:rPr>
      <w:sz w:val="16"/>
    </w:rPr>
  </w:style>
  <w:style w:type="paragraph" w:styleId="Testocommento">
    <w:name w:val="annotation text"/>
    <w:basedOn w:val="Normale"/>
    <w:link w:val="TestocommentoCarattere"/>
    <w:semiHidden/>
    <w:rsid w:val="00014566"/>
    <w:rPr>
      <w:sz w:val="20"/>
    </w:rPr>
  </w:style>
  <w:style w:type="character" w:customStyle="1" w:styleId="TestocommentoCarattere">
    <w:name w:val="Testo commento Carattere"/>
    <w:basedOn w:val="Carpredefinitoparagrafo"/>
    <w:link w:val="Testocommento"/>
    <w:semiHidden/>
    <w:rsid w:val="00014566"/>
    <w:rPr>
      <w:rFonts w:eastAsiaTheme="minorEastAsia"/>
      <w:sz w:val="20"/>
    </w:rPr>
  </w:style>
  <w:style w:type="paragraph" w:styleId="Soggettocommento">
    <w:name w:val="annotation subject"/>
    <w:basedOn w:val="Testocommento"/>
    <w:next w:val="Testocommento"/>
    <w:link w:val="SoggettocommentoCarattere"/>
    <w:uiPriority w:val="99"/>
    <w:semiHidden/>
    <w:rsid w:val="00014566"/>
    <w:rPr>
      <w:b/>
      <w:bCs/>
    </w:rPr>
  </w:style>
  <w:style w:type="character" w:customStyle="1" w:styleId="SoggettocommentoCarattere">
    <w:name w:val="Soggetto commento Carattere"/>
    <w:basedOn w:val="TestocommentoCarattere"/>
    <w:link w:val="Soggettocommento"/>
    <w:uiPriority w:val="99"/>
    <w:semiHidden/>
    <w:rsid w:val="00014566"/>
    <w:rPr>
      <w:rFonts w:eastAsiaTheme="minorEastAsia"/>
      <w:b/>
      <w:bCs/>
      <w:sz w:val="20"/>
    </w:rPr>
  </w:style>
  <w:style w:type="character" w:styleId="Rimandonotadichiusura">
    <w:name w:val="endnote reference"/>
    <w:basedOn w:val="Carpredefinitoparagrafo"/>
    <w:uiPriority w:val="99"/>
    <w:semiHidden/>
    <w:rsid w:val="0030104D"/>
    <w:rPr>
      <w:vertAlign w:val="superscript"/>
    </w:rPr>
  </w:style>
  <w:style w:type="paragraph" w:styleId="Testonotadichiusura">
    <w:name w:val="endnote text"/>
    <w:basedOn w:val="Normale"/>
    <w:link w:val="TestonotadichiusuraCarattere"/>
    <w:uiPriority w:val="99"/>
    <w:semiHidden/>
    <w:rsid w:val="0030104D"/>
    <w:rPr>
      <w:sz w:val="20"/>
      <w:szCs w:val="20"/>
    </w:rPr>
  </w:style>
  <w:style w:type="character" w:customStyle="1" w:styleId="TestonotadichiusuraCarattere">
    <w:name w:val="Testo nota di chiusura Carattere"/>
    <w:basedOn w:val="Carpredefinitoparagrafo"/>
    <w:link w:val="Testonotadichiusura"/>
    <w:uiPriority w:val="99"/>
    <w:semiHidden/>
    <w:rsid w:val="0030104D"/>
    <w:rPr>
      <w:rFonts w:eastAsiaTheme="minorEastAsia"/>
      <w:sz w:val="20"/>
      <w:szCs w:val="20"/>
      <w:lang w:val="en-GB"/>
    </w:rPr>
  </w:style>
  <w:style w:type="character" w:styleId="Collegamentovisitato">
    <w:name w:val="FollowedHyperlink"/>
    <w:uiPriority w:val="99"/>
    <w:semiHidden/>
    <w:rsid w:val="00014566"/>
    <w:rPr>
      <w:color w:val="800080"/>
      <w:u w:val="single"/>
    </w:rPr>
  </w:style>
  <w:style w:type="paragraph" w:styleId="Mappadocumento">
    <w:name w:val="Document Map"/>
    <w:basedOn w:val="Normale"/>
    <w:link w:val="MappadocumentoCarattere"/>
    <w:uiPriority w:val="99"/>
    <w:semiHidden/>
    <w:rsid w:val="00014566"/>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30104D"/>
    <w:pPr>
      <w:ind w:left="635" w:hanging="357"/>
      <w:outlineLvl w:val="2"/>
    </w:pPr>
  </w:style>
  <w:style w:type="paragraph" w:styleId="Puntoelenco">
    <w:name w:val="List Bullet"/>
    <w:basedOn w:val="Normale"/>
    <w:uiPriority w:val="99"/>
    <w:semiHidden/>
    <w:rsid w:val="00014566"/>
    <w:pPr>
      <w:numPr>
        <w:numId w:val="1"/>
      </w:numPr>
    </w:pPr>
  </w:style>
  <w:style w:type="paragraph" w:customStyle="1" w:styleId="OpiHa">
    <w:name w:val="Opi_H_a"/>
    <w:basedOn w:val="ECHRHeading3"/>
    <w:uiPriority w:val="43"/>
    <w:qFormat/>
    <w:rsid w:val="0030104D"/>
    <w:pPr>
      <w:ind w:left="833" w:hanging="357"/>
      <w:outlineLvl w:val="3"/>
    </w:pPr>
    <w:rPr>
      <w:b/>
      <w:i w:val="0"/>
      <w:sz w:val="20"/>
    </w:rPr>
  </w:style>
  <w:style w:type="paragraph" w:styleId="Sottotitolo">
    <w:name w:val="Subtitle"/>
    <w:basedOn w:val="Normale"/>
    <w:next w:val="Normale"/>
    <w:link w:val="SottotitoloCarattere"/>
    <w:uiPriority w:val="99"/>
    <w:semiHidden/>
    <w:qFormat/>
    <w:rsid w:val="0030104D"/>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30104D"/>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014566"/>
    <w:pPr>
      <w:numPr>
        <w:numId w:val="2"/>
      </w:numPr>
    </w:pPr>
  </w:style>
  <w:style w:type="numbering" w:styleId="1ai">
    <w:name w:val="Outline List 1"/>
    <w:basedOn w:val="Nessunelenco"/>
    <w:uiPriority w:val="99"/>
    <w:semiHidden/>
    <w:rsid w:val="00014566"/>
    <w:pPr>
      <w:numPr>
        <w:numId w:val="3"/>
      </w:numPr>
    </w:pPr>
  </w:style>
  <w:style w:type="numbering" w:styleId="ArticoloSezione">
    <w:name w:val="Outline List 3"/>
    <w:basedOn w:val="Nessunelenco"/>
    <w:uiPriority w:val="99"/>
    <w:semiHidden/>
    <w:rsid w:val="00014566"/>
    <w:pPr>
      <w:numPr>
        <w:numId w:val="4"/>
      </w:numPr>
    </w:pPr>
  </w:style>
  <w:style w:type="paragraph" w:styleId="Bibliografia">
    <w:name w:val="Bibliography"/>
    <w:basedOn w:val="Normale"/>
    <w:next w:val="Normale"/>
    <w:uiPriority w:val="99"/>
    <w:semiHidden/>
    <w:unhideWhenUsed/>
    <w:rsid w:val="00014566"/>
  </w:style>
  <w:style w:type="paragraph" w:styleId="Testodelblocco">
    <w:name w:val="Block Text"/>
    <w:basedOn w:val="Normale"/>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9"/>
    <w:semiHidden/>
    <w:rsid w:val="00014566"/>
    <w:pPr>
      <w:spacing w:after="120"/>
    </w:pPr>
  </w:style>
  <w:style w:type="character" w:customStyle="1" w:styleId="CorpotestoCarattere">
    <w:name w:val="Corpo testo Carattere"/>
    <w:basedOn w:val="Carpredefinitoparagrafo"/>
    <w:link w:val="Corpotesto"/>
    <w:uiPriority w:val="99"/>
    <w:semiHidden/>
    <w:rsid w:val="00014566"/>
    <w:rPr>
      <w:rFonts w:eastAsiaTheme="minorEastAsia"/>
      <w:sz w:val="24"/>
    </w:rPr>
  </w:style>
  <w:style w:type="paragraph" w:styleId="Corpodeltesto2">
    <w:name w:val="Body Text 2"/>
    <w:basedOn w:val="Normale"/>
    <w:link w:val="Corpodeltesto2Carattere"/>
    <w:uiPriority w:val="99"/>
    <w:semiHidden/>
    <w:rsid w:val="00014566"/>
    <w:pPr>
      <w:spacing w:after="120" w:line="480" w:lineRule="auto"/>
    </w:pPr>
  </w:style>
  <w:style w:type="character" w:customStyle="1" w:styleId="Corpodeltesto2Carattere">
    <w:name w:val="Corpo del testo 2 Carattere"/>
    <w:basedOn w:val="Carpredefinitoparagrafo"/>
    <w:link w:val="Corpodeltesto2"/>
    <w:uiPriority w:val="99"/>
    <w:semiHidden/>
    <w:rsid w:val="00014566"/>
    <w:rPr>
      <w:rFonts w:eastAsiaTheme="minorEastAsia"/>
      <w:sz w:val="24"/>
    </w:rPr>
  </w:style>
  <w:style w:type="paragraph" w:styleId="Corpodeltesto3">
    <w:name w:val="Body Text 3"/>
    <w:basedOn w:val="Normale"/>
    <w:link w:val="Corpodeltesto3Carattere"/>
    <w:uiPriority w:val="99"/>
    <w:semiHidden/>
    <w:rsid w:val="0001456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14566"/>
    <w:rPr>
      <w:rFonts w:eastAsiaTheme="minorEastAsia"/>
      <w:sz w:val="16"/>
      <w:szCs w:val="16"/>
    </w:rPr>
  </w:style>
  <w:style w:type="paragraph" w:styleId="Primorientrocorpodeltesto">
    <w:name w:val="Body Text First Indent"/>
    <w:basedOn w:val="Corpotesto"/>
    <w:link w:val="PrimorientrocorpodeltestoCarattere"/>
    <w:uiPriority w:val="99"/>
    <w:semiHidden/>
    <w:rsid w:val="00014566"/>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014566"/>
    <w:rPr>
      <w:rFonts w:eastAsiaTheme="minorEastAsia"/>
      <w:sz w:val="24"/>
    </w:rPr>
  </w:style>
  <w:style w:type="paragraph" w:styleId="Rientrocorpodeltesto">
    <w:name w:val="Body Text Indent"/>
    <w:basedOn w:val="Normale"/>
    <w:link w:val="RientrocorpodeltestoCarattere"/>
    <w:uiPriority w:val="99"/>
    <w:semiHidden/>
    <w:rsid w:val="0001456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14566"/>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01456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14566"/>
    <w:rPr>
      <w:rFonts w:eastAsiaTheme="minorEastAsia"/>
      <w:sz w:val="24"/>
    </w:rPr>
  </w:style>
  <w:style w:type="paragraph" w:styleId="Rientrocorpodeltesto2">
    <w:name w:val="Body Text Indent 2"/>
    <w:basedOn w:val="Normale"/>
    <w:link w:val="Rientrocorpodeltesto2Carattere"/>
    <w:uiPriority w:val="99"/>
    <w:semiHidden/>
    <w:rsid w:val="0001456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14566"/>
    <w:rPr>
      <w:rFonts w:eastAsiaTheme="minorEastAsia"/>
      <w:sz w:val="24"/>
    </w:rPr>
  </w:style>
  <w:style w:type="paragraph" w:styleId="Rientrocorpodeltesto3">
    <w:name w:val="Body Text Indent 3"/>
    <w:basedOn w:val="Normale"/>
    <w:link w:val="Rientrocorpodeltesto3Carattere"/>
    <w:uiPriority w:val="99"/>
    <w:semiHidden/>
    <w:rsid w:val="0001456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14566"/>
    <w:rPr>
      <w:rFonts w:eastAsiaTheme="minorEastAsia"/>
      <w:sz w:val="16"/>
      <w:szCs w:val="16"/>
    </w:rPr>
  </w:style>
  <w:style w:type="paragraph" w:styleId="Didascalia">
    <w:name w:val="caption"/>
    <w:basedOn w:val="Normale"/>
    <w:next w:val="Normale"/>
    <w:uiPriority w:val="99"/>
    <w:semiHidden/>
    <w:qFormat/>
    <w:rsid w:val="00014566"/>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014566"/>
    <w:pPr>
      <w:ind w:left="4252"/>
    </w:pPr>
  </w:style>
  <w:style w:type="character" w:customStyle="1" w:styleId="FormuladichiusuraCarattere">
    <w:name w:val="Formula di chiusura Carattere"/>
    <w:basedOn w:val="Carpredefinitoparagrafo"/>
    <w:link w:val="Formuladichiusura"/>
    <w:uiPriority w:val="99"/>
    <w:semiHidden/>
    <w:rsid w:val="00014566"/>
    <w:rPr>
      <w:rFonts w:eastAsiaTheme="minorEastAsia"/>
      <w:sz w:val="24"/>
    </w:rPr>
  </w:style>
  <w:style w:type="table" w:styleId="Grigliaacolori">
    <w:name w:val="Colorful Grid"/>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014566"/>
  </w:style>
  <w:style w:type="character" w:customStyle="1" w:styleId="DataCarattere">
    <w:name w:val="Data Carattere"/>
    <w:basedOn w:val="Carpredefinitoparagrafo"/>
    <w:link w:val="Data"/>
    <w:uiPriority w:val="99"/>
    <w:semiHidden/>
    <w:rsid w:val="00014566"/>
    <w:rPr>
      <w:rFonts w:eastAsiaTheme="minorEastAsia"/>
      <w:sz w:val="24"/>
    </w:rPr>
  </w:style>
  <w:style w:type="paragraph" w:styleId="Firmadipostaelettronica">
    <w:name w:val="E-mail Signature"/>
    <w:basedOn w:val="Normale"/>
    <w:link w:val="FirmadipostaelettronicaCarattere"/>
    <w:uiPriority w:val="99"/>
    <w:semiHidden/>
    <w:rsid w:val="00014566"/>
  </w:style>
  <w:style w:type="character" w:customStyle="1" w:styleId="FirmadipostaelettronicaCarattere">
    <w:name w:val="Firma di posta elettronica Carattere"/>
    <w:basedOn w:val="Carpredefinitoparagrafo"/>
    <w:link w:val="Firmadipostaelettronica"/>
    <w:uiPriority w:val="99"/>
    <w:semiHidden/>
    <w:rsid w:val="00014566"/>
    <w:rPr>
      <w:rFonts w:eastAsiaTheme="minorEastAsia"/>
      <w:sz w:val="24"/>
    </w:rPr>
  </w:style>
  <w:style w:type="paragraph" w:styleId="Indirizzodestinatario">
    <w:name w:val="envelope address"/>
    <w:basedOn w:val="Normale"/>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014566"/>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014566"/>
  </w:style>
  <w:style w:type="paragraph" w:styleId="IndirizzoHTML">
    <w:name w:val="HTML Address"/>
    <w:basedOn w:val="Normale"/>
    <w:link w:val="IndirizzoHTMLCarattere"/>
    <w:uiPriority w:val="99"/>
    <w:semiHidden/>
    <w:rsid w:val="00014566"/>
    <w:rPr>
      <w:i/>
      <w:iCs/>
    </w:rPr>
  </w:style>
  <w:style w:type="character" w:customStyle="1" w:styleId="IndirizzoHTMLCarattere">
    <w:name w:val="Indirizzo HTML Carattere"/>
    <w:basedOn w:val="Carpredefinitoparagrafo"/>
    <w:link w:val="IndirizzoHTML"/>
    <w:uiPriority w:val="99"/>
    <w:semiHidden/>
    <w:rsid w:val="00014566"/>
    <w:rPr>
      <w:rFonts w:eastAsiaTheme="minorEastAsia"/>
      <w:i/>
      <w:iCs/>
      <w:sz w:val="24"/>
    </w:rPr>
  </w:style>
  <w:style w:type="character" w:styleId="CitazioneHTML">
    <w:name w:val="HTML Cite"/>
    <w:basedOn w:val="Carpredefinitoparagrafo"/>
    <w:uiPriority w:val="99"/>
    <w:semiHidden/>
    <w:rsid w:val="00014566"/>
    <w:rPr>
      <w:i/>
      <w:iCs/>
    </w:rPr>
  </w:style>
  <w:style w:type="character" w:styleId="CodiceHTML">
    <w:name w:val="HTML Code"/>
    <w:basedOn w:val="Carpredefinitoparagrafo"/>
    <w:uiPriority w:val="99"/>
    <w:semiHidden/>
    <w:rsid w:val="00014566"/>
    <w:rPr>
      <w:rFonts w:ascii="Consolas" w:hAnsi="Consolas" w:cs="Consolas"/>
      <w:sz w:val="20"/>
      <w:szCs w:val="20"/>
    </w:rPr>
  </w:style>
  <w:style w:type="character" w:styleId="DefinizioneHTML">
    <w:name w:val="HTML Definition"/>
    <w:basedOn w:val="Carpredefinitoparagrafo"/>
    <w:uiPriority w:val="99"/>
    <w:semiHidden/>
    <w:rsid w:val="00014566"/>
    <w:rPr>
      <w:i/>
      <w:iCs/>
    </w:rPr>
  </w:style>
  <w:style w:type="character" w:styleId="TastieraHTML">
    <w:name w:val="HTML Keyboard"/>
    <w:basedOn w:val="Carpredefinitoparagrafo"/>
    <w:uiPriority w:val="99"/>
    <w:semiHidden/>
    <w:rsid w:val="00014566"/>
    <w:rPr>
      <w:rFonts w:ascii="Consolas" w:hAnsi="Consolas" w:cs="Consolas"/>
      <w:sz w:val="20"/>
      <w:szCs w:val="20"/>
    </w:rPr>
  </w:style>
  <w:style w:type="paragraph" w:styleId="PreformattatoHTML">
    <w:name w:val="HTML Preformatted"/>
    <w:basedOn w:val="Normale"/>
    <w:link w:val="PreformattatoHTMLCarattere"/>
    <w:uiPriority w:val="99"/>
    <w:semiHidden/>
    <w:rsid w:val="0001456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014566"/>
    <w:rPr>
      <w:rFonts w:ascii="Consolas" w:eastAsiaTheme="minorEastAsia" w:hAnsi="Consolas" w:cs="Consolas"/>
      <w:sz w:val="20"/>
      <w:szCs w:val="20"/>
    </w:rPr>
  </w:style>
  <w:style w:type="character" w:styleId="EsempioHTML">
    <w:name w:val="HTML Sample"/>
    <w:basedOn w:val="Carpredefinitoparagrafo"/>
    <w:uiPriority w:val="99"/>
    <w:semiHidden/>
    <w:rsid w:val="00014566"/>
    <w:rPr>
      <w:rFonts w:ascii="Consolas" w:hAnsi="Consolas" w:cs="Consolas"/>
      <w:sz w:val="24"/>
      <w:szCs w:val="24"/>
    </w:rPr>
  </w:style>
  <w:style w:type="character" w:styleId="MacchinadascrivereHTML">
    <w:name w:val="HTML Typewriter"/>
    <w:basedOn w:val="Carpredefinitoparagrafo"/>
    <w:uiPriority w:val="99"/>
    <w:semiHidden/>
    <w:rsid w:val="00014566"/>
    <w:rPr>
      <w:rFonts w:ascii="Consolas" w:hAnsi="Consolas" w:cs="Consolas"/>
      <w:sz w:val="20"/>
      <w:szCs w:val="20"/>
    </w:rPr>
  </w:style>
  <w:style w:type="character" w:styleId="VariabileHTML">
    <w:name w:val="HTML Variable"/>
    <w:basedOn w:val="Carpredefinitoparagrafo"/>
    <w:uiPriority w:val="99"/>
    <w:semiHidden/>
    <w:rsid w:val="00014566"/>
    <w:rPr>
      <w:i/>
      <w:iCs/>
    </w:rPr>
  </w:style>
  <w:style w:type="paragraph" w:styleId="Indice1">
    <w:name w:val="index 1"/>
    <w:basedOn w:val="Normale"/>
    <w:next w:val="Normale"/>
    <w:autoRedefine/>
    <w:uiPriority w:val="99"/>
    <w:semiHidden/>
    <w:rsid w:val="00014566"/>
    <w:pPr>
      <w:ind w:left="240" w:hanging="240"/>
    </w:pPr>
  </w:style>
  <w:style w:type="paragraph" w:styleId="Indice2">
    <w:name w:val="index 2"/>
    <w:basedOn w:val="Normale"/>
    <w:next w:val="Normale"/>
    <w:autoRedefine/>
    <w:uiPriority w:val="99"/>
    <w:semiHidden/>
    <w:rsid w:val="00014566"/>
    <w:pPr>
      <w:ind w:left="480" w:hanging="240"/>
    </w:pPr>
  </w:style>
  <w:style w:type="paragraph" w:styleId="Indice3">
    <w:name w:val="index 3"/>
    <w:basedOn w:val="Normale"/>
    <w:next w:val="Normale"/>
    <w:autoRedefine/>
    <w:uiPriority w:val="99"/>
    <w:semiHidden/>
    <w:rsid w:val="00014566"/>
    <w:pPr>
      <w:ind w:left="720" w:hanging="240"/>
    </w:pPr>
  </w:style>
  <w:style w:type="paragraph" w:styleId="Indice4">
    <w:name w:val="index 4"/>
    <w:basedOn w:val="Normale"/>
    <w:next w:val="Normale"/>
    <w:autoRedefine/>
    <w:uiPriority w:val="99"/>
    <w:semiHidden/>
    <w:rsid w:val="00014566"/>
    <w:pPr>
      <w:ind w:left="960" w:hanging="240"/>
    </w:pPr>
  </w:style>
  <w:style w:type="paragraph" w:styleId="Indice5">
    <w:name w:val="index 5"/>
    <w:basedOn w:val="Normale"/>
    <w:next w:val="Normale"/>
    <w:autoRedefine/>
    <w:uiPriority w:val="99"/>
    <w:semiHidden/>
    <w:rsid w:val="00014566"/>
    <w:pPr>
      <w:ind w:left="1200" w:hanging="240"/>
    </w:pPr>
  </w:style>
  <w:style w:type="paragraph" w:styleId="Indice6">
    <w:name w:val="index 6"/>
    <w:basedOn w:val="Normale"/>
    <w:next w:val="Normale"/>
    <w:autoRedefine/>
    <w:uiPriority w:val="99"/>
    <w:semiHidden/>
    <w:rsid w:val="00014566"/>
    <w:pPr>
      <w:ind w:left="1440" w:hanging="240"/>
    </w:pPr>
  </w:style>
  <w:style w:type="paragraph" w:styleId="Indice7">
    <w:name w:val="index 7"/>
    <w:basedOn w:val="Normale"/>
    <w:next w:val="Normale"/>
    <w:autoRedefine/>
    <w:uiPriority w:val="99"/>
    <w:semiHidden/>
    <w:rsid w:val="00014566"/>
    <w:pPr>
      <w:ind w:left="1680" w:hanging="240"/>
    </w:pPr>
  </w:style>
  <w:style w:type="paragraph" w:styleId="Indice8">
    <w:name w:val="index 8"/>
    <w:basedOn w:val="Normale"/>
    <w:next w:val="Normale"/>
    <w:autoRedefine/>
    <w:uiPriority w:val="99"/>
    <w:semiHidden/>
    <w:rsid w:val="00014566"/>
    <w:pPr>
      <w:ind w:left="1920" w:hanging="240"/>
    </w:pPr>
  </w:style>
  <w:style w:type="paragraph" w:styleId="Indice9">
    <w:name w:val="index 9"/>
    <w:basedOn w:val="Normale"/>
    <w:next w:val="Normale"/>
    <w:autoRedefine/>
    <w:uiPriority w:val="99"/>
    <w:semiHidden/>
    <w:rsid w:val="00014566"/>
    <w:pPr>
      <w:ind w:left="2160" w:hanging="240"/>
    </w:pPr>
  </w:style>
  <w:style w:type="paragraph" w:styleId="Titoloindice">
    <w:name w:val="index heading"/>
    <w:basedOn w:val="Normale"/>
    <w:next w:val="Indice1"/>
    <w:uiPriority w:val="99"/>
    <w:semiHidden/>
    <w:rsid w:val="00014566"/>
    <w:rPr>
      <w:rFonts w:asciiTheme="majorHAnsi" w:eastAsiaTheme="majorEastAsia" w:hAnsiTheme="majorHAnsi" w:cstheme="majorBidi"/>
      <w:b/>
      <w:bCs/>
    </w:rPr>
  </w:style>
  <w:style w:type="table" w:styleId="Grigliachiara">
    <w:name w:val="Light Grid"/>
    <w:basedOn w:val="Tabellanormale"/>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014566"/>
  </w:style>
  <w:style w:type="paragraph" w:styleId="Elenco">
    <w:name w:val="List"/>
    <w:basedOn w:val="Normale"/>
    <w:uiPriority w:val="99"/>
    <w:semiHidden/>
    <w:rsid w:val="00014566"/>
    <w:pPr>
      <w:ind w:left="283" w:hanging="283"/>
      <w:contextualSpacing/>
    </w:pPr>
  </w:style>
  <w:style w:type="paragraph" w:styleId="Elenco2">
    <w:name w:val="List 2"/>
    <w:basedOn w:val="Normale"/>
    <w:uiPriority w:val="99"/>
    <w:semiHidden/>
    <w:rsid w:val="00014566"/>
    <w:pPr>
      <w:ind w:left="566" w:hanging="283"/>
      <w:contextualSpacing/>
    </w:pPr>
  </w:style>
  <w:style w:type="paragraph" w:styleId="Elenco3">
    <w:name w:val="List 3"/>
    <w:basedOn w:val="Normale"/>
    <w:uiPriority w:val="99"/>
    <w:semiHidden/>
    <w:rsid w:val="00014566"/>
    <w:pPr>
      <w:ind w:left="849" w:hanging="283"/>
      <w:contextualSpacing/>
    </w:pPr>
  </w:style>
  <w:style w:type="paragraph" w:styleId="Elenco4">
    <w:name w:val="List 4"/>
    <w:basedOn w:val="Normale"/>
    <w:uiPriority w:val="99"/>
    <w:semiHidden/>
    <w:rsid w:val="00014566"/>
    <w:pPr>
      <w:ind w:left="1132" w:hanging="283"/>
      <w:contextualSpacing/>
    </w:pPr>
  </w:style>
  <w:style w:type="paragraph" w:styleId="Elenco5">
    <w:name w:val="List 5"/>
    <w:basedOn w:val="Normale"/>
    <w:uiPriority w:val="99"/>
    <w:semiHidden/>
    <w:rsid w:val="00014566"/>
    <w:pPr>
      <w:ind w:left="1415" w:hanging="283"/>
      <w:contextualSpacing/>
    </w:pPr>
  </w:style>
  <w:style w:type="paragraph" w:styleId="Puntoelenco2">
    <w:name w:val="List Bullet 2"/>
    <w:basedOn w:val="Normale"/>
    <w:uiPriority w:val="99"/>
    <w:semiHidden/>
    <w:rsid w:val="00014566"/>
    <w:pPr>
      <w:numPr>
        <w:numId w:val="5"/>
      </w:numPr>
      <w:contextualSpacing/>
    </w:pPr>
  </w:style>
  <w:style w:type="paragraph" w:styleId="Puntoelenco3">
    <w:name w:val="List Bullet 3"/>
    <w:basedOn w:val="Normale"/>
    <w:uiPriority w:val="99"/>
    <w:semiHidden/>
    <w:rsid w:val="00014566"/>
    <w:pPr>
      <w:numPr>
        <w:numId w:val="6"/>
      </w:numPr>
      <w:contextualSpacing/>
    </w:pPr>
  </w:style>
  <w:style w:type="paragraph" w:styleId="Puntoelenco4">
    <w:name w:val="List Bullet 4"/>
    <w:basedOn w:val="Normale"/>
    <w:uiPriority w:val="99"/>
    <w:semiHidden/>
    <w:rsid w:val="00014566"/>
    <w:pPr>
      <w:numPr>
        <w:numId w:val="7"/>
      </w:numPr>
      <w:contextualSpacing/>
    </w:pPr>
  </w:style>
  <w:style w:type="paragraph" w:styleId="Puntoelenco5">
    <w:name w:val="List Bullet 5"/>
    <w:basedOn w:val="Normale"/>
    <w:uiPriority w:val="99"/>
    <w:semiHidden/>
    <w:rsid w:val="00014566"/>
    <w:pPr>
      <w:numPr>
        <w:numId w:val="8"/>
      </w:numPr>
      <w:contextualSpacing/>
    </w:pPr>
  </w:style>
  <w:style w:type="paragraph" w:styleId="Elencocontinua">
    <w:name w:val="List Continue"/>
    <w:basedOn w:val="Normale"/>
    <w:uiPriority w:val="99"/>
    <w:semiHidden/>
    <w:rsid w:val="00014566"/>
    <w:pPr>
      <w:spacing w:after="120"/>
      <w:ind w:left="283"/>
      <w:contextualSpacing/>
    </w:pPr>
  </w:style>
  <w:style w:type="paragraph" w:styleId="Elencocontinua2">
    <w:name w:val="List Continue 2"/>
    <w:basedOn w:val="Normale"/>
    <w:uiPriority w:val="99"/>
    <w:semiHidden/>
    <w:rsid w:val="00014566"/>
    <w:pPr>
      <w:spacing w:after="120"/>
      <w:ind w:left="566"/>
      <w:contextualSpacing/>
    </w:pPr>
  </w:style>
  <w:style w:type="paragraph" w:styleId="Elencocontinua3">
    <w:name w:val="List Continue 3"/>
    <w:basedOn w:val="Normale"/>
    <w:uiPriority w:val="99"/>
    <w:semiHidden/>
    <w:rsid w:val="00014566"/>
    <w:pPr>
      <w:spacing w:after="120"/>
      <w:ind w:left="849"/>
      <w:contextualSpacing/>
    </w:pPr>
  </w:style>
  <w:style w:type="paragraph" w:styleId="Elencocontinua4">
    <w:name w:val="List Continue 4"/>
    <w:basedOn w:val="Normale"/>
    <w:uiPriority w:val="99"/>
    <w:semiHidden/>
    <w:rsid w:val="00014566"/>
    <w:pPr>
      <w:spacing w:after="120"/>
      <w:ind w:left="1132"/>
      <w:contextualSpacing/>
    </w:pPr>
  </w:style>
  <w:style w:type="paragraph" w:styleId="Elencocontinua5">
    <w:name w:val="List Continue 5"/>
    <w:basedOn w:val="Normale"/>
    <w:uiPriority w:val="99"/>
    <w:semiHidden/>
    <w:rsid w:val="00014566"/>
    <w:pPr>
      <w:spacing w:after="120"/>
      <w:ind w:left="1415"/>
      <w:contextualSpacing/>
    </w:pPr>
  </w:style>
  <w:style w:type="paragraph" w:styleId="Numeroelenco">
    <w:name w:val="List Number"/>
    <w:basedOn w:val="Normale"/>
    <w:uiPriority w:val="99"/>
    <w:semiHidden/>
    <w:rsid w:val="00014566"/>
    <w:pPr>
      <w:numPr>
        <w:numId w:val="9"/>
      </w:numPr>
      <w:contextualSpacing/>
    </w:pPr>
  </w:style>
  <w:style w:type="paragraph" w:styleId="Numeroelenco2">
    <w:name w:val="List Number 2"/>
    <w:basedOn w:val="Normale"/>
    <w:uiPriority w:val="99"/>
    <w:semiHidden/>
    <w:rsid w:val="00014566"/>
    <w:pPr>
      <w:numPr>
        <w:numId w:val="10"/>
      </w:numPr>
      <w:contextualSpacing/>
    </w:pPr>
  </w:style>
  <w:style w:type="paragraph" w:styleId="Numeroelenco3">
    <w:name w:val="List Number 3"/>
    <w:basedOn w:val="Normale"/>
    <w:uiPriority w:val="99"/>
    <w:semiHidden/>
    <w:rsid w:val="00014566"/>
    <w:pPr>
      <w:numPr>
        <w:numId w:val="11"/>
      </w:numPr>
      <w:contextualSpacing/>
    </w:pPr>
  </w:style>
  <w:style w:type="paragraph" w:styleId="Numeroelenco4">
    <w:name w:val="List Number 4"/>
    <w:basedOn w:val="Normale"/>
    <w:uiPriority w:val="99"/>
    <w:semiHidden/>
    <w:rsid w:val="00014566"/>
    <w:pPr>
      <w:numPr>
        <w:numId w:val="12"/>
      </w:numPr>
      <w:contextualSpacing/>
    </w:pPr>
  </w:style>
  <w:style w:type="paragraph" w:styleId="Numeroelenco5">
    <w:name w:val="List Number 5"/>
    <w:basedOn w:val="Normale"/>
    <w:uiPriority w:val="99"/>
    <w:semiHidden/>
    <w:rsid w:val="00014566"/>
    <w:pPr>
      <w:numPr>
        <w:numId w:val="13"/>
      </w:numPr>
      <w:contextualSpacing/>
    </w:pPr>
  </w:style>
  <w:style w:type="paragraph" w:styleId="Testomacro">
    <w:name w:val="macro"/>
    <w:link w:val="TestomacroCarattere"/>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stomacroCarattere">
    <w:name w:val="Testo macro Carattere"/>
    <w:basedOn w:val="Carpredefinitoparagrafo"/>
    <w:link w:val="Testomacro"/>
    <w:uiPriority w:val="99"/>
    <w:semiHidden/>
    <w:rsid w:val="00014566"/>
    <w:rPr>
      <w:rFonts w:ascii="Consolas" w:hAnsi="Consolas" w:cs="Consolas"/>
      <w:sz w:val="20"/>
      <w:szCs w:val="20"/>
      <w:lang w:val="en-GB" w:eastAsia="fr-FR"/>
    </w:rPr>
  </w:style>
  <w:style w:type="table" w:styleId="Grigliamedia1">
    <w:name w:val="Medium Grid 1"/>
    <w:basedOn w:val="Tabellanormale"/>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014566"/>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014566"/>
    <w:rPr>
      <w:rFonts w:ascii="Times New Roman" w:hAnsi="Times New Roman" w:cs="Times New Roman"/>
      <w:szCs w:val="24"/>
    </w:rPr>
  </w:style>
  <w:style w:type="paragraph" w:styleId="Rientronormale">
    <w:name w:val="Normal Indent"/>
    <w:basedOn w:val="Normale"/>
    <w:uiPriority w:val="99"/>
    <w:semiHidden/>
    <w:rsid w:val="00014566"/>
    <w:pPr>
      <w:ind w:left="720"/>
    </w:pPr>
  </w:style>
  <w:style w:type="paragraph" w:styleId="Intestazionenota">
    <w:name w:val="Note Heading"/>
    <w:basedOn w:val="Normale"/>
    <w:next w:val="Normale"/>
    <w:link w:val="IntestazionenotaCarattere"/>
    <w:uiPriority w:val="99"/>
    <w:semiHidden/>
    <w:rsid w:val="00014566"/>
  </w:style>
  <w:style w:type="character" w:customStyle="1" w:styleId="IntestazionenotaCarattere">
    <w:name w:val="Intestazione nota Carattere"/>
    <w:basedOn w:val="Carpredefinitoparagrafo"/>
    <w:link w:val="Intestazionenota"/>
    <w:uiPriority w:val="99"/>
    <w:semiHidden/>
    <w:rsid w:val="00014566"/>
    <w:rPr>
      <w:rFonts w:eastAsiaTheme="minorEastAsia"/>
      <w:sz w:val="24"/>
    </w:rPr>
  </w:style>
  <w:style w:type="character" w:styleId="Testosegnaposto">
    <w:name w:val="Placeholder Text"/>
    <w:basedOn w:val="Carpredefinitoparagrafo"/>
    <w:uiPriority w:val="99"/>
    <w:semiHidden/>
    <w:rsid w:val="0030104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014566"/>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14566"/>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014566"/>
  </w:style>
  <w:style w:type="character" w:customStyle="1" w:styleId="FormuladiaperturaCarattere">
    <w:name w:val="Formula di apertura Carattere"/>
    <w:basedOn w:val="Carpredefinitoparagrafo"/>
    <w:link w:val="Formuladiapertura"/>
    <w:uiPriority w:val="99"/>
    <w:semiHidden/>
    <w:rsid w:val="00014566"/>
    <w:rPr>
      <w:rFonts w:eastAsiaTheme="minorEastAsia"/>
      <w:sz w:val="24"/>
    </w:rPr>
  </w:style>
  <w:style w:type="paragraph" w:styleId="Firma">
    <w:name w:val="Signature"/>
    <w:basedOn w:val="Normale"/>
    <w:link w:val="FirmaCarattere"/>
    <w:uiPriority w:val="99"/>
    <w:semiHidden/>
    <w:rsid w:val="00014566"/>
    <w:pPr>
      <w:ind w:left="4252"/>
    </w:pPr>
  </w:style>
  <w:style w:type="character" w:customStyle="1" w:styleId="FirmaCarattere">
    <w:name w:val="Firma Carattere"/>
    <w:basedOn w:val="Carpredefinitoparagrafo"/>
    <w:link w:val="Firma"/>
    <w:uiPriority w:val="99"/>
    <w:semiHidden/>
    <w:rsid w:val="00014566"/>
    <w:rPr>
      <w:rFonts w:eastAsiaTheme="minorEastAsia"/>
      <w:sz w:val="24"/>
    </w:rPr>
  </w:style>
  <w:style w:type="table" w:styleId="Tabellaeffetti3D1">
    <w:name w:val="Table 3D effects 1"/>
    <w:basedOn w:val="Tabellanormale"/>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014566"/>
    <w:pPr>
      <w:ind w:left="240" w:hanging="240"/>
    </w:pPr>
  </w:style>
  <w:style w:type="paragraph" w:styleId="Indicedellefigure">
    <w:name w:val="table of figures"/>
    <w:basedOn w:val="Normale"/>
    <w:next w:val="Normale"/>
    <w:uiPriority w:val="99"/>
    <w:semiHidden/>
    <w:rsid w:val="00014566"/>
  </w:style>
  <w:style w:type="table" w:styleId="Tabellaprofessionale">
    <w:name w:val="Table Professional"/>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30104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30104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014566"/>
    <w:pPr>
      <w:spacing w:after="100"/>
      <w:ind w:left="1680"/>
    </w:pPr>
  </w:style>
  <w:style w:type="paragraph" w:styleId="Sommario9">
    <w:name w:val="toc 9"/>
    <w:basedOn w:val="Normale"/>
    <w:next w:val="Normale"/>
    <w:autoRedefine/>
    <w:uiPriority w:val="99"/>
    <w:semiHidden/>
    <w:rsid w:val="00014566"/>
    <w:pPr>
      <w:spacing w:after="100"/>
      <w:ind w:left="1920"/>
    </w:pPr>
  </w:style>
  <w:style w:type="paragraph" w:customStyle="1" w:styleId="OpiHA0">
    <w:name w:val="Opi_H_A"/>
    <w:basedOn w:val="ECHRHeading1"/>
    <w:next w:val="OpiPara"/>
    <w:uiPriority w:val="41"/>
    <w:qFormat/>
    <w:rsid w:val="0030104D"/>
    <w:pPr>
      <w:tabs>
        <w:tab w:val="clear" w:pos="357"/>
      </w:tabs>
      <w:outlineLvl w:val="1"/>
    </w:pPr>
    <w:rPr>
      <w:b/>
    </w:rPr>
  </w:style>
  <w:style w:type="paragraph" w:customStyle="1" w:styleId="OpiHi">
    <w:name w:val="Opi_H_i"/>
    <w:basedOn w:val="ECHRHeading4"/>
    <w:uiPriority w:val="44"/>
    <w:qFormat/>
    <w:rsid w:val="0030104D"/>
    <w:pPr>
      <w:ind w:left="1037" w:hanging="357"/>
      <w:outlineLvl w:val="4"/>
    </w:pPr>
    <w:rPr>
      <w:b w:val="0"/>
      <w:i/>
    </w:rPr>
  </w:style>
  <w:style w:type="paragraph" w:customStyle="1" w:styleId="OpiPara">
    <w:name w:val="Opi_Para"/>
    <w:basedOn w:val="ECHRPara"/>
    <w:uiPriority w:val="46"/>
    <w:qFormat/>
    <w:rsid w:val="0030104D"/>
  </w:style>
  <w:style w:type="paragraph" w:customStyle="1" w:styleId="OpiParaSub">
    <w:name w:val="Opi_Para_Sub"/>
    <w:basedOn w:val="JuParaSub"/>
    <w:uiPriority w:val="47"/>
    <w:qFormat/>
    <w:rsid w:val="0030104D"/>
  </w:style>
  <w:style w:type="paragraph" w:customStyle="1" w:styleId="OpiQuot">
    <w:name w:val="Opi_Quot"/>
    <w:basedOn w:val="ECHRParaQuote"/>
    <w:uiPriority w:val="48"/>
    <w:qFormat/>
    <w:rsid w:val="0030104D"/>
  </w:style>
  <w:style w:type="paragraph" w:customStyle="1" w:styleId="OpiQuotSub">
    <w:name w:val="Opi_Quot_Sub"/>
    <w:basedOn w:val="JuQuotSub"/>
    <w:uiPriority w:val="49"/>
    <w:qFormat/>
    <w:rsid w:val="0030104D"/>
  </w:style>
  <w:style w:type="paragraph" w:customStyle="1" w:styleId="OpiTranslation">
    <w:name w:val="Opi_Translation"/>
    <w:basedOn w:val="Normale"/>
    <w:next w:val="OpiPara"/>
    <w:uiPriority w:val="40"/>
    <w:qFormat/>
    <w:rsid w:val="0030104D"/>
    <w:pPr>
      <w:jc w:val="center"/>
      <w:outlineLvl w:val="0"/>
    </w:pPr>
    <w:rPr>
      <w:i/>
    </w:rPr>
  </w:style>
  <w:style w:type="character" w:customStyle="1" w:styleId="ECHRParaChar">
    <w:name w:val="ECHR_Para Char"/>
    <w:aliases w:val="Ju_Para Char"/>
    <w:link w:val="ECHRPara"/>
    <w:uiPriority w:val="12"/>
    <w:rsid w:val="00CD3F26"/>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38194">
      <w:bodyDiv w:val="1"/>
      <w:marLeft w:val="0"/>
      <w:marRight w:val="0"/>
      <w:marTop w:val="0"/>
      <w:marBottom w:val="0"/>
      <w:divBdr>
        <w:top w:val="none" w:sz="0" w:space="0" w:color="auto"/>
        <w:left w:val="none" w:sz="0" w:space="0" w:color="auto"/>
        <w:bottom w:val="none" w:sz="0" w:space="0" w:color="auto"/>
        <w:right w:val="none" w:sz="0" w:space="0" w:color="auto"/>
      </w:divBdr>
    </w:div>
    <w:div w:id="407846436">
      <w:bodyDiv w:val="1"/>
      <w:marLeft w:val="0"/>
      <w:marRight w:val="0"/>
      <w:marTop w:val="0"/>
      <w:marBottom w:val="0"/>
      <w:divBdr>
        <w:top w:val="none" w:sz="0" w:space="0" w:color="auto"/>
        <w:left w:val="none" w:sz="0" w:space="0" w:color="auto"/>
        <w:bottom w:val="none" w:sz="0" w:space="0" w:color="auto"/>
        <w:right w:val="none" w:sz="0" w:space="0" w:color="auto"/>
      </w:divBdr>
    </w:div>
    <w:div w:id="633488191">
      <w:bodyDiv w:val="1"/>
      <w:marLeft w:val="0"/>
      <w:marRight w:val="0"/>
      <w:marTop w:val="0"/>
      <w:marBottom w:val="0"/>
      <w:divBdr>
        <w:top w:val="none" w:sz="0" w:space="0" w:color="auto"/>
        <w:left w:val="none" w:sz="0" w:space="0" w:color="auto"/>
        <w:bottom w:val="none" w:sz="0" w:space="0" w:color="auto"/>
        <w:right w:val="none" w:sz="0" w:space="0" w:color="auto"/>
      </w:divBdr>
    </w:div>
    <w:div w:id="682513258">
      <w:bodyDiv w:val="1"/>
      <w:marLeft w:val="0"/>
      <w:marRight w:val="0"/>
      <w:marTop w:val="0"/>
      <w:marBottom w:val="0"/>
      <w:divBdr>
        <w:top w:val="none" w:sz="0" w:space="0" w:color="auto"/>
        <w:left w:val="none" w:sz="0" w:space="0" w:color="auto"/>
        <w:bottom w:val="none" w:sz="0" w:space="0" w:color="auto"/>
        <w:right w:val="none" w:sz="0" w:space="0" w:color="auto"/>
      </w:divBdr>
    </w:div>
    <w:div w:id="756903124">
      <w:bodyDiv w:val="1"/>
      <w:marLeft w:val="0"/>
      <w:marRight w:val="0"/>
      <w:marTop w:val="0"/>
      <w:marBottom w:val="0"/>
      <w:divBdr>
        <w:top w:val="none" w:sz="0" w:space="0" w:color="auto"/>
        <w:left w:val="none" w:sz="0" w:space="0" w:color="auto"/>
        <w:bottom w:val="none" w:sz="0" w:space="0" w:color="auto"/>
        <w:right w:val="none" w:sz="0" w:space="0" w:color="auto"/>
      </w:divBdr>
      <w:divsChild>
        <w:div w:id="490560009">
          <w:marLeft w:val="0"/>
          <w:marRight w:val="0"/>
          <w:marTop w:val="0"/>
          <w:marBottom w:val="0"/>
          <w:divBdr>
            <w:top w:val="none" w:sz="0" w:space="0" w:color="auto"/>
            <w:left w:val="none" w:sz="0" w:space="0" w:color="auto"/>
            <w:bottom w:val="none" w:sz="0" w:space="0" w:color="auto"/>
            <w:right w:val="none" w:sz="0" w:space="0" w:color="auto"/>
          </w:divBdr>
          <w:divsChild>
            <w:div w:id="300502322">
              <w:marLeft w:val="0"/>
              <w:marRight w:val="0"/>
              <w:marTop w:val="0"/>
              <w:marBottom w:val="0"/>
              <w:divBdr>
                <w:top w:val="none" w:sz="0" w:space="0" w:color="auto"/>
                <w:left w:val="none" w:sz="0" w:space="0" w:color="auto"/>
                <w:bottom w:val="none" w:sz="0" w:space="0" w:color="auto"/>
                <w:right w:val="none" w:sz="0" w:space="0" w:color="auto"/>
              </w:divBdr>
              <w:divsChild>
                <w:div w:id="1665476464">
                  <w:marLeft w:val="0"/>
                  <w:marRight w:val="0"/>
                  <w:marTop w:val="0"/>
                  <w:marBottom w:val="0"/>
                  <w:divBdr>
                    <w:top w:val="none" w:sz="0" w:space="0" w:color="auto"/>
                    <w:left w:val="none" w:sz="0" w:space="0" w:color="auto"/>
                    <w:bottom w:val="none" w:sz="0" w:space="0" w:color="auto"/>
                    <w:right w:val="none" w:sz="0" w:space="0" w:color="auto"/>
                  </w:divBdr>
                  <w:divsChild>
                    <w:div w:id="1282305314">
                      <w:marLeft w:val="0"/>
                      <w:marRight w:val="0"/>
                      <w:marTop w:val="0"/>
                      <w:marBottom w:val="0"/>
                      <w:divBdr>
                        <w:top w:val="none" w:sz="0" w:space="0" w:color="auto"/>
                        <w:left w:val="none" w:sz="0" w:space="0" w:color="auto"/>
                        <w:bottom w:val="none" w:sz="0" w:space="0" w:color="auto"/>
                        <w:right w:val="none" w:sz="0" w:space="0" w:color="auto"/>
                      </w:divBdr>
                      <w:divsChild>
                        <w:div w:id="155925540">
                          <w:marLeft w:val="0"/>
                          <w:marRight w:val="0"/>
                          <w:marTop w:val="0"/>
                          <w:marBottom w:val="0"/>
                          <w:divBdr>
                            <w:top w:val="none" w:sz="0" w:space="0" w:color="auto"/>
                            <w:left w:val="none" w:sz="0" w:space="0" w:color="auto"/>
                            <w:bottom w:val="none" w:sz="0" w:space="0" w:color="auto"/>
                            <w:right w:val="none" w:sz="0" w:space="0" w:color="auto"/>
                          </w:divBdr>
                          <w:divsChild>
                            <w:div w:id="3210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010445239">
      <w:bodyDiv w:val="1"/>
      <w:marLeft w:val="0"/>
      <w:marRight w:val="0"/>
      <w:marTop w:val="0"/>
      <w:marBottom w:val="0"/>
      <w:divBdr>
        <w:top w:val="none" w:sz="0" w:space="0" w:color="auto"/>
        <w:left w:val="none" w:sz="0" w:space="0" w:color="auto"/>
        <w:bottom w:val="none" w:sz="0" w:space="0" w:color="auto"/>
        <w:right w:val="none" w:sz="0" w:space="0" w:color="auto"/>
      </w:divBdr>
    </w:div>
    <w:div w:id="1194071508">
      <w:bodyDiv w:val="1"/>
      <w:marLeft w:val="0"/>
      <w:marRight w:val="0"/>
      <w:marTop w:val="0"/>
      <w:marBottom w:val="0"/>
      <w:divBdr>
        <w:top w:val="none" w:sz="0" w:space="0" w:color="auto"/>
        <w:left w:val="none" w:sz="0" w:space="0" w:color="auto"/>
        <w:bottom w:val="none" w:sz="0" w:space="0" w:color="auto"/>
        <w:right w:val="none" w:sz="0" w:space="0" w:color="auto"/>
      </w:divBdr>
      <w:divsChild>
        <w:div w:id="129329438">
          <w:marLeft w:val="0"/>
          <w:marRight w:val="0"/>
          <w:marTop w:val="0"/>
          <w:marBottom w:val="0"/>
          <w:divBdr>
            <w:top w:val="none" w:sz="0" w:space="0" w:color="auto"/>
            <w:left w:val="none" w:sz="0" w:space="0" w:color="auto"/>
            <w:bottom w:val="none" w:sz="0" w:space="0" w:color="auto"/>
            <w:right w:val="none" w:sz="0" w:space="0" w:color="auto"/>
          </w:divBdr>
          <w:divsChild>
            <w:div w:id="2007512835">
              <w:marLeft w:val="0"/>
              <w:marRight w:val="0"/>
              <w:marTop w:val="0"/>
              <w:marBottom w:val="0"/>
              <w:divBdr>
                <w:top w:val="none" w:sz="0" w:space="0" w:color="auto"/>
                <w:left w:val="none" w:sz="0" w:space="0" w:color="auto"/>
                <w:bottom w:val="none" w:sz="0" w:space="0" w:color="auto"/>
                <w:right w:val="none" w:sz="0" w:space="0" w:color="auto"/>
              </w:divBdr>
              <w:divsChild>
                <w:div w:id="2133596532">
                  <w:marLeft w:val="0"/>
                  <w:marRight w:val="0"/>
                  <w:marTop w:val="0"/>
                  <w:marBottom w:val="0"/>
                  <w:divBdr>
                    <w:top w:val="none" w:sz="0" w:space="0" w:color="auto"/>
                    <w:left w:val="none" w:sz="0" w:space="0" w:color="auto"/>
                    <w:bottom w:val="none" w:sz="0" w:space="0" w:color="auto"/>
                    <w:right w:val="none" w:sz="0" w:space="0" w:color="auto"/>
                  </w:divBdr>
                  <w:divsChild>
                    <w:div w:id="624041576">
                      <w:marLeft w:val="0"/>
                      <w:marRight w:val="0"/>
                      <w:marTop w:val="0"/>
                      <w:marBottom w:val="0"/>
                      <w:divBdr>
                        <w:top w:val="none" w:sz="0" w:space="0" w:color="auto"/>
                        <w:left w:val="none" w:sz="0" w:space="0" w:color="auto"/>
                        <w:bottom w:val="none" w:sz="0" w:space="0" w:color="auto"/>
                        <w:right w:val="none" w:sz="0" w:space="0" w:color="auto"/>
                      </w:divBdr>
                      <w:divsChild>
                        <w:div w:id="351347765">
                          <w:marLeft w:val="0"/>
                          <w:marRight w:val="0"/>
                          <w:marTop w:val="0"/>
                          <w:marBottom w:val="0"/>
                          <w:divBdr>
                            <w:top w:val="none" w:sz="0" w:space="0" w:color="auto"/>
                            <w:left w:val="none" w:sz="0" w:space="0" w:color="auto"/>
                            <w:bottom w:val="none" w:sz="0" w:space="0" w:color="auto"/>
                            <w:right w:val="none" w:sz="0" w:space="0" w:color="auto"/>
                          </w:divBdr>
                          <w:divsChild>
                            <w:div w:id="7225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559864">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4B944-9E13-4D95-88DC-26940ED3C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2118FF-21A4-42B4-ADA7-EA8CBB502B25}">
  <ds:schemaRefs>
    <ds:schemaRef ds:uri="http://schemas.microsoft.com/sharepoint/v3/contenttype/forms"/>
  </ds:schemaRefs>
</ds:datastoreItem>
</file>

<file path=customXml/itemProps3.xml><?xml version="1.0" encoding="utf-8"?>
<ds:datastoreItem xmlns:ds="http://schemas.openxmlformats.org/officeDocument/2006/customXml" ds:itemID="{6CD0D5D1-E48D-4413-8684-030AFA71FA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F0786E-0D13-4FF7-B0DC-9C150D1D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5287</Words>
  <Characters>30138</Characters>
  <Application>Microsoft Office Word</Application>
  <DocSecurity>0</DocSecurity>
  <Lines>251</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2017-10-16T12:49:00Z</dcterms:created>
  <dcterms:modified xsi:type="dcterms:W3CDTF">2017-10-16T12:49:00Z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21759/15</vt:lpwstr>
  </property>
  <property fmtid="{D5CDD505-2E9C-101B-9397-08002B2CF9AE}" pid="4" name="CASEID">
    <vt:lpwstr>1132117</vt:lpwstr>
  </property>
  <property fmtid="{D5CDD505-2E9C-101B-9397-08002B2CF9AE}" pid="5" name="ContentTypeId">
    <vt:lpwstr>0x010100558EB02BDB9E204AB350EDD385B68E10</vt:lpwstr>
  </property>
</Properties>
</file>